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E91E3" w14:textId="05BDFB5B" w:rsidR="00950749" w:rsidRPr="008C5CD0" w:rsidRDefault="00E63F5D" w:rsidP="00950749">
      <w:pPr>
        <w:jc w:val="center"/>
        <w:rPr>
          <w:rFonts w:ascii="Times New Roman" w:hAnsi="Times New Roman" w:cs="Times New Roman"/>
          <w:sz w:val="24"/>
          <w:szCs w:val="24"/>
        </w:rPr>
      </w:pPr>
      <w:r>
        <w:rPr>
          <w:noProof/>
        </w:rPr>
        <w:drawing>
          <wp:inline distT="0" distB="0" distL="0" distR="0" wp14:anchorId="1E8F1070" wp14:editId="6154E91E">
            <wp:extent cx="4114800" cy="267673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5662" cy="2690308"/>
                    </a:xfrm>
                    <a:prstGeom prst="rect">
                      <a:avLst/>
                    </a:prstGeom>
                    <a:noFill/>
                    <a:ln>
                      <a:noFill/>
                    </a:ln>
                  </pic:spPr>
                </pic:pic>
              </a:graphicData>
            </a:graphic>
          </wp:inline>
        </w:drawing>
      </w:r>
    </w:p>
    <w:p w14:paraId="4C567931" w14:textId="09E276CE" w:rsidR="00C9690D" w:rsidRPr="008C5CD0" w:rsidRDefault="00E63F5D" w:rsidP="00950749">
      <w:pPr>
        <w:jc w:val="center"/>
        <w:rPr>
          <w:rFonts w:ascii="Times New Roman" w:hAnsi="Times New Roman" w:cs="Times New Roman"/>
          <w:sz w:val="24"/>
          <w:szCs w:val="24"/>
        </w:rPr>
      </w:pPr>
      <w:r>
        <w:rPr>
          <w:noProof/>
        </w:rPr>
        <w:drawing>
          <wp:inline distT="0" distB="0" distL="0" distR="0" wp14:anchorId="314708DD" wp14:editId="12C94814">
            <wp:extent cx="4038600" cy="3230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9874" cy="3231899"/>
                    </a:xfrm>
                    <a:prstGeom prst="rect">
                      <a:avLst/>
                    </a:prstGeom>
                    <a:noFill/>
                    <a:ln>
                      <a:noFill/>
                    </a:ln>
                  </pic:spPr>
                </pic:pic>
              </a:graphicData>
            </a:graphic>
          </wp:inline>
        </w:drawing>
      </w:r>
    </w:p>
    <w:p w14:paraId="570D1619" w14:textId="77777777" w:rsidR="00E63F5D" w:rsidRDefault="00E63F5D" w:rsidP="006332C4">
      <w:pPr>
        <w:pStyle w:val="Title"/>
        <w:jc w:val="center"/>
        <w:rPr>
          <w:sz w:val="24"/>
          <w:szCs w:val="24"/>
        </w:rPr>
      </w:pPr>
    </w:p>
    <w:p w14:paraId="7C6E54B5" w14:textId="4EDEDE90" w:rsidR="00DF621A" w:rsidRPr="008C5CD0" w:rsidRDefault="00950749" w:rsidP="006332C4">
      <w:pPr>
        <w:pStyle w:val="Title"/>
        <w:jc w:val="center"/>
        <w:rPr>
          <w:sz w:val="24"/>
          <w:szCs w:val="24"/>
        </w:rPr>
      </w:pPr>
      <w:r w:rsidRPr="008C5CD0">
        <w:rPr>
          <w:sz w:val="24"/>
          <w:szCs w:val="24"/>
        </w:rPr>
        <w:t>Pro-forma</w:t>
      </w:r>
    </w:p>
    <w:p w14:paraId="2FB4A5FB" w14:textId="77777777" w:rsidR="00950749" w:rsidRPr="008C5CD0" w:rsidRDefault="00950749" w:rsidP="006332C4">
      <w:pPr>
        <w:pStyle w:val="Title"/>
        <w:jc w:val="center"/>
        <w:rPr>
          <w:sz w:val="24"/>
          <w:szCs w:val="24"/>
        </w:rPr>
      </w:pPr>
      <w:r w:rsidRPr="008C5CD0">
        <w:rPr>
          <w:sz w:val="24"/>
          <w:szCs w:val="24"/>
        </w:rPr>
        <w:t>Financial Statement</w:t>
      </w:r>
    </w:p>
    <w:p w14:paraId="40505C56" w14:textId="77777777" w:rsidR="00950749" w:rsidRPr="008C5CD0" w:rsidRDefault="00950749" w:rsidP="006332C4">
      <w:pPr>
        <w:pStyle w:val="Title"/>
        <w:jc w:val="center"/>
        <w:rPr>
          <w:sz w:val="24"/>
          <w:szCs w:val="24"/>
        </w:rPr>
      </w:pPr>
      <w:r w:rsidRPr="008C5CD0">
        <w:rPr>
          <w:sz w:val="24"/>
          <w:szCs w:val="24"/>
        </w:rPr>
        <w:t xml:space="preserve">For the Years </w:t>
      </w:r>
      <w:r w:rsidR="00102D26" w:rsidRPr="008C5CD0">
        <w:rPr>
          <w:sz w:val="24"/>
          <w:szCs w:val="24"/>
        </w:rPr>
        <w:t>Ending</w:t>
      </w:r>
    </w:p>
    <w:p w14:paraId="65F31406" w14:textId="4F763EA1" w:rsidR="00950749" w:rsidRPr="008C5CD0" w:rsidRDefault="00950749" w:rsidP="0059424B">
      <w:pPr>
        <w:pStyle w:val="Title"/>
        <w:jc w:val="center"/>
        <w:rPr>
          <w:rFonts w:ascii="Times New Roman" w:hAnsi="Times New Roman" w:cs="Times New Roman"/>
          <w:b/>
          <w:sz w:val="24"/>
          <w:szCs w:val="24"/>
        </w:rPr>
      </w:pPr>
      <w:r w:rsidRPr="008C5CD0">
        <w:rPr>
          <w:sz w:val="24"/>
          <w:szCs w:val="24"/>
        </w:rPr>
        <w:t>December 31, 20</w:t>
      </w:r>
      <w:r w:rsidR="00A6318B">
        <w:rPr>
          <w:sz w:val="24"/>
          <w:szCs w:val="24"/>
        </w:rPr>
        <w:t>2</w:t>
      </w:r>
      <w:r w:rsidR="0079068E">
        <w:rPr>
          <w:sz w:val="24"/>
          <w:szCs w:val="24"/>
        </w:rPr>
        <w:t>1</w:t>
      </w:r>
      <w:r w:rsidRPr="008C5CD0">
        <w:rPr>
          <w:sz w:val="24"/>
          <w:szCs w:val="24"/>
        </w:rPr>
        <w:t xml:space="preserve"> – 20</w:t>
      </w:r>
      <w:r w:rsidR="008C6EFF">
        <w:rPr>
          <w:sz w:val="24"/>
          <w:szCs w:val="24"/>
        </w:rPr>
        <w:t>2</w:t>
      </w:r>
      <w:r w:rsidR="0079068E">
        <w:rPr>
          <w:sz w:val="24"/>
          <w:szCs w:val="24"/>
        </w:rPr>
        <w:t>3</w:t>
      </w:r>
    </w:p>
    <w:p w14:paraId="395420A4" w14:textId="77777777" w:rsidR="00950749" w:rsidRPr="008C5CD0" w:rsidRDefault="00950749">
      <w:pPr>
        <w:rPr>
          <w:rFonts w:ascii="Times New Roman" w:hAnsi="Times New Roman" w:cs="Times New Roman"/>
          <w:b/>
          <w:sz w:val="24"/>
          <w:szCs w:val="24"/>
        </w:rPr>
      </w:pPr>
      <w:r w:rsidRPr="008C5CD0">
        <w:rPr>
          <w:rFonts w:ascii="Times New Roman" w:hAnsi="Times New Roman" w:cs="Times New Roman"/>
          <w:b/>
          <w:sz w:val="24"/>
          <w:szCs w:val="24"/>
        </w:rPr>
        <w:br w:type="page"/>
      </w:r>
    </w:p>
    <w:p w14:paraId="6B751415" w14:textId="77777777" w:rsidR="00AA604C" w:rsidRPr="009C70F5" w:rsidRDefault="00AA604C" w:rsidP="00595FBC">
      <w:pPr>
        <w:jc w:val="both"/>
        <w:rPr>
          <w:rFonts w:ascii="Times New Roman" w:hAnsi="Times New Roman" w:cs="Times New Roman"/>
          <w:b/>
          <w:sz w:val="24"/>
          <w:szCs w:val="24"/>
        </w:rPr>
      </w:pPr>
      <w:r w:rsidRPr="009C70F5">
        <w:rPr>
          <w:rFonts w:ascii="Times New Roman" w:hAnsi="Times New Roman" w:cs="Times New Roman"/>
          <w:b/>
          <w:sz w:val="24"/>
          <w:szCs w:val="24"/>
        </w:rPr>
        <w:t>Executive Summary</w:t>
      </w:r>
    </w:p>
    <w:p w14:paraId="05906809" w14:textId="5789475C" w:rsidR="00C93B8B" w:rsidRPr="009C70F5" w:rsidRDefault="00AA604C" w:rsidP="009975A9">
      <w:pPr>
        <w:pStyle w:val="NormalWeb"/>
        <w:shd w:val="clear" w:color="auto" w:fill="FFFFFF"/>
        <w:rPr>
          <w:color w:val="000000"/>
        </w:rPr>
      </w:pPr>
      <w:r w:rsidRPr="009C70F5">
        <w:rPr>
          <w:color w:val="000000"/>
        </w:rPr>
        <w:t>The purpose of this business plan is to provide a strategic plan for the operation of the Warm Springs Confederated Tribes, Indian Head Casino</w:t>
      </w:r>
      <w:r w:rsidR="001B3CD1">
        <w:rPr>
          <w:color w:val="000000"/>
        </w:rPr>
        <w:t xml:space="preserve"> and </w:t>
      </w:r>
      <w:r w:rsidR="009975A9">
        <w:rPr>
          <w:color w:val="000000"/>
        </w:rPr>
        <w:t>Plateau Travel Plaza</w:t>
      </w:r>
      <w:r w:rsidRPr="009C70F5">
        <w:rPr>
          <w:color w:val="000000"/>
        </w:rPr>
        <w:t>. This business plan will also showcase the expected financi</w:t>
      </w:r>
      <w:r w:rsidR="0060273E" w:rsidRPr="009C70F5">
        <w:rPr>
          <w:color w:val="000000"/>
        </w:rPr>
        <w:t xml:space="preserve">als and operations over the years </w:t>
      </w:r>
      <w:r w:rsidR="00102D26" w:rsidRPr="009C70F5">
        <w:rPr>
          <w:color w:val="000000"/>
        </w:rPr>
        <w:t>ending</w:t>
      </w:r>
      <w:r w:rsidR="0060273E" w:rsidRPr="009C70F5">
        <w:rPr>
          <w:color w:val="000000"/>
        </w:rPr>
        <w:t xml:space="preserve"> December 31, 20</w:t>
      </w:r>
      <w:r w:rsidR="00A6318B">
        <w:rPr>
          <w:color w:val="000000"/>
        </w:rPr>
        <w:t>2</w:t>
      </w:r>
      <w:r w:rsidR="0079068E">
        <w:rPr>
          <w:color w:val="000000"/>
        </w:rPr>
        <w:t>1</w:t>
      </w:r>
      <w:r w:rsidR="0060273E" w:rsidRPr="009C70F5">
        <w:rPr>
          <w:color w:val="000000"/>
        </w:rPr>
        <w:t xml:space="preserve"> to 20</w:t>
      </w:r>
      <w:r w:rsidR="008C6EFF">
        <w:rPr>
          <w:color w:val="000000"/>
        </w:rPr>
        <w:t>2</w:t>
      </w:r>
      <w:r w:rsidR="0079068E">
        <w:rPr>
          <w:color w:val="000000"/>
        </w:rPr>
        <w:t>3</w:t>
      </w:r>
      <w:r w:rsidRPr="009C70F5">
        <w:rPr>
          <w:color w:val="000000"/>
        </w:rPr>
        <w:t xml:space="preserve">. </w:t>
      </w:r>
      <w:r w:rsidR="001B3CD1">
        <w:rPr>
          <w:color w:val="000000"/>
        </w:rPr>
        <w:t xml:space="preserve">Warm Springs </w:t>
      </w:r>
      <w:r w:rsidRPr="009C70F5">
        <w:rPr>
          <w:color w:val="000000"/>
        </w:rPr>
        <w:t>Indian Head Casino is a fully owned gaming enterprise of the Confederated Tribes of Warm Springs located at 3236 Highway 26, Warm Springs, OR</w:t>
      </w:r>
      <w:r w:rsidR="009975A9">
        <w:rPr>
          <w:color w:val="000000"/>
        </w:rPr>
        <w:t xml:space="preserve"> and 215 NW Cherry Lane, Madras, OR.</w:t>
      </w:r>
      <w:r w:rsidR="00C93B8B" w:rsidRPr="009C70F5">
        <w:rPr>
          <w:color w:val="000000"/>
        </w:rPr>
        <w:br w:type="page"/>
      </w:r>
    </w:p>
    <w:p w14:paraId="28785119" w14:textId="77777777" w:rsidR="002440A1" w:rsidRPr="009C70F5" w:rsidRDefault="002440A1" w:rsidP="002440A1">
      <w:pPr>
        <w:jc w:val="both"/>
        <w:rPr>
          <w:rFonts w:ascii="Times New Roman" w:hAnsi="Times New Roman" w:cs="Times New Roman"/>
          <w:b/>
          <w:sz w:val="24"/>
          <w:szCs w:val="24"/>
        </w:rPr>
      </w:pPr>
      <w:r w:rsidRPr="009C70F5">
        <w:rPr>
          <w:rFonts w:ascii="Times New Roman" w:hAnsi="Times New Roman" w:cs="Times New Roman"/>
          <w:b/>
          <w:sz w:val="24"/>
          <w:szCs w:val="24"/>
        </w:rPr>
        <w:t>Products and Services</w:t>
      </w:r>
    </w:p>
    <w:p w14:paraId="2ACBE87A" w14:textId="77777777" w:rsidR="002440A1" w:rsidRPr="009C70F5" w:rsidRDefault="002440A1" w:rsidP="002440A1">
      <w:pPr>
        <w:pStyle w:val="NormalWeb"/>
        <w:shd w:val="clear" w:color="auto" w:fill="FFFFFF"/>
        <w:rPr>
          <w:color w:val="000000"/>
        </w:rPr>
      </w:pPr>
      <w:r w:rsidRPr="009C70F5">
        <w:rPr>
          <w:color w:val="000000"/>
        </w:rPr>
        <w:t xml:space="preserve">Indian Head Casino primarily generate revenues from the operation of </w:t>
      </w:r>
      <w:r>
        <w:rPr>
          <w:color w:val="000000"/>
        </w:rPr>
        <w:t>496</w:t>
      </w:r>
      <w:r w:rsidRPr="009C70F5">
        <w:rPr>
          <w:color w:val="000000"/>
        </w:rPr>
        <w:t xml:space="preserve"> Slot Machines, 6 Blackjack Tables</w:t>
      </w:r>
      <w:r>
        <w:rPr>
          <w:color w:val="000000"/>
        </w:rPr>
        <w:t xml:space="preserve"> (suspended)</w:t>
      </w:r>
      <w:r w:rsidRPr="009C70F5">
        <w:rPr>
          <w:color w:val="000000"/>
        </w:rPr>
        <w:t>, a 124 seat Restaurant, Lounge</w:t>
      </w:r>
      <w:r>
        <w:rPr>
          <w:color w:val="000000"/>
        </w:rPr>
        <w:t xml:space="preserve"> (temporary closed)</w:t>
      </w:r>
      <w:r w:rsidRPr="009C70F5">
        <w:rPr>
          <w:color w:val="000000"/>
        </w:rPr>
        <w:t>, Deli and merchandise sales.</w:t>
      </w:r>
      <w:r>
        <w:rPr>
          <w:color w:val="000000"/>
        </w:rPr>
        <w:t xml:space="preserve">  Truck Plaza primarily generate revenues from operations of Class II slot machines, convenient store, restaurant, diesel and gas pumps.</w:t>
      </w:r>
    </w:p>
    <w:p w14:paraId="6BA2533B" w14:textId="77777777" w:rsidR="002440A1" w:rsidRPr="009622B0" w:rsidRDefault="002440A1" w:rsidP="002440A1">
      <w:pPr>
        <w:pStyle w:val="newstext"/>
        <w:shd w:val="clear" w:color="auto" w:fill="FFFFFF"/>
        <w:spacing w:before="0" w:beforeAutospacing="0" w:after="150" w:afterAutospacing="0" w:line="300" w:lineRule="atLeast"/>
      </w:pPr>
      <w:r w:rsidRPr="009622B0">
        <w:t>Per Oregon Office of Economic Analysis report of May 2020, Oregon Tourism Commission of April 2020 Oregon Travel Impacts and</w:t>
      </w:r>
      <w:r>
        <w:t xml:space="preserve"> Red Circle CV-19 Casino Player Behavior Study</w:t>
      </w:r>
      <w:r w:rsidRPr="009622B0">
        <w:t>.</w:t>
      </w:r>
    </w:p>
    <w:p w14:paraId="4D5FE024" w14:textId="77777777" w:rsidR="002440A1" w:rsidRPr="004E1C71" w:rsidRDefault="002440A1" w:rsidP="002440A1">
      <w:pPr>
        <w:pStyle w:val="newstext"/>
        <w:numPr>
          <w:ilvl w:val="0"/>
          <w:numId w:val="5"/>
        </w:numPr>
        <w:shd w:val="clear" w:color="auto" w:fill="FFFFFF"/>
        <w:spacing w:before="0" w:beforeAutospacing="0" w:after="150" w:afterAutospacing="0" w:line="300" w:lineRule="atLeast"/>
        <w:rPr>
          <w:b/>
        </w:rPr>
      </w:pPr>
      <w:r w:rsidRPr="004E1C71">
        <w:rPr>
          <w:b/>
        </w:rPr>
        <w:t>National gaming trends</w:t>
      </w:r>
    </w:p>
    <w:p w14:paraId="72269985" w14:textId="77777777" w:rsidR="002440A1" w:rsidRDefault="002440A1" w:rsidP="002440A1">
      <w:pPr>
        <w:tabs>
          <w:tab w:val="left" w:pos="7676"/>
        </w:tabs>
        <w:spacing w:before="240"/>
        <w:ind w:left="720"/>
        <w:rPr>
          <w:rFonts w:ascii="Times New Roman" w:hAnsi="Times New Roman" w:cs="Times New Roman"/>
          <w:color w:val="000000" w:themeColor="text1"/>
          <w:sz w:val="24"/>
          <w:szCs w:val="24"/>
        </w:rPr>
      </w:pPr>
      <w:r w:rsidRPr="009622B0">
        <w:rPr>
          <w:rFonts w:ascii="Times New Roman" w:hAnsi="Times New Roman" w:cs="Times New Roman"/>
          <w:color w:val="000000" w:themeColor="text1"/>
          <w:sz w:val="24"/>
          <w:szCs w:val="24"/>
        </w:rPr>
        <w:t>2019 marked another record-setting year for the commercial gaming segment. Helped in part by the expansion of legal sports betting, the commercial casino sector logged its fifth consecutive year of gaming revenue growth in 2019—surging 3.7 percent to $43.6 billion, a new historic high.</w:t>
      </w:r>
    </w:p>
    <w:p w14:paraId="4DDC785B" w14:textId="77777777" w:rsidR="002440A1" w:rsidRDefault="002440A1" w:rsidP="002440A1">
      <w:pPr>
        <w:tabs>
          <w:tab w:val="left" w:pos="7676"/>
        </w:tabs>
        <w:spacing w:before="240"/>
        <w:ind w:left="720"/>
        <w:rPr>
          <w:rFonts w:ascii="Times New Roman" w:hAnsi="Times New Roman" w:cs="Times New Roman"/>
          <w:color w:val="000000" w:themeColor="text1"/>
          <w:sz w:val="24"/>
          <w:szCs w:val="24"/>
        </w:rPr>
      </w:pPr>
      <w:r w:rsidRPr="009622B0">
        <w:rPr>
          <w:rFonts w:ascii="Times New Roman" w:hAnsi="Times New Roman" w:cs="Times New Roman"/>
          <w:color w:val="000000" w:themeColor="text1"/>
          <w:sz w:val="24"/>
          <w:szCs w:val="24"/>
        </w:rPr>
        <w:t>At the end of 2019, Americans never had a higher opinion of our industry and nearly half said they planned to visit a casino over the next year. Consumers saw gaming as providing innovative, cutting-edge entertainment while at the same time providing economic and social benefits to local communities.</w:t>
      </w:r>
    </w:p>
    <w:p w14:paraId="1E020A69" w14:textId="77777777" w:rsidR="002440A1" w:rsidRPr="009622B0" w:rsidRDefault="002440A1" w:rsidP="002440A1">
      <w:pPr>
        <w:tabs>
          <w:tab w:val="left" w:pos="7676"/>
        </w:tabs>
        <w:spacing w:before="240"/>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9622B0">
        <w:rPr>
          <w:rFonts w:ascii="Times New Roman" w:hAnsi="Times New Roman" w:cs="Times New Roman"/>
          <w:color w:val="000000" w:themeColor="text1"/>
          <w:sz w:val="24"/>
          <w:szCs w:val="24"/>
        </w:rPr>
        <w:t xml:space="preserve">Total nationwide consumer spending on casino gaming increased for a fifth straight year to reach a record $43.61 billion, up 3.7 percent from 2018. </w:t>
      </w:r>
    </w:p>
    <w:p w14:paraId="4F561F55" w14:textId="77777777" w:rsidR="002440A1" w:rsidRDefault="002440A1" w:rsidP="002440A1">
      <w:pPr>
        <w:tabs>
          <w:tab w:val="left" w:pos="7676"/>
        </w:tabs>
        <w:spacing w:before="240" w:after="0"/>
        <w:ind w:left="720"/>
        <w:rPr>
          <w:rFonts w:ascii="Times New Roman" w:hAnsi="Times New Roman" w:cs="Times New Roman"/>
          <w:color w:val="000000" w:themeColor="text1"/>
          <w:sz w:val="24"/>
          <w:szCs w:val="24"/>
        </w:rPr>
      </w:pPr>
      <w:r w:rsidRPr="009622B0">
        <w:rPr>
          <w:rFonts w:ascii="Times New Roman" w:hAnsi="Times New Roman" w:cs="Times New Roman"/>
          <w:color w:val="000000" w:themeColor="text1"/>
          <w:sz w:val="24"/>
          <w:szCs w:val="24"/>
        </w:rPr>
        <w:t>Overall, 14 of the 25 states with commercial casinos reported record annual gaming revenue in 2019, reflective of strong local economies in many parts of the countries and the addition of sports betting in certain markets. Only four states reported lower casino gaming revenue in 2019 than the previous year.</w:t>
      </w:r>
    </w:p>
    <w:p w14:paraId="35FCDAC5" w14:textId="77777777" w:rsidR="002440A1" w:rsidRPr="00E63F5D" w:rsidRDefault="002440A1" w:rsidP="002440A1">
      <w:pPr>
        <w:tabs>
          <w:tab w:val="left" w:pos="7676"/>
        </w:tabs>
        <w:spacing w:after="0"/>
        <w:ind w:left="1440"/>
        <w:rPr>
          <w:rFonts w:ascii="Times New Roman" w:hAnsi="Times New Roman" w:cs="Times New Roman"/>
          <w:color w:val="000000" w:themeColor="text1"/>
          <w:sz w:val="24"/>
          <w:szCs w:val="24"/>
        </w:rPr>
      </w:pPr>
      <w:r w:rsidRPr="00E63F5D">
        <w:rPr>
          <w:rFonts w:ascii="Times New Roman" w:hAnsi="Times New Roman" w:cs="Times New Roman"/>
          <w:color w:val="211D1E"/>
          <w:sz w:val="20"/>
          <w:szCs w:val="20"/>
        </w:rPr>
        <w:t>*Notably, the above gaming revenue and direct gaming tax totals do not include contributions from the 524 tribal casinos operating across 29 states. Revenue figures for 2019 had not yet been released at the time of writing.</w:t>
      </w:r>
    </w:p>
    <w:p w14:paraId="406177B5" w14:textId="77777777" w:rsidR="002440A1" w:rsidRDefault="002440A1" w:rsidP="002440A1">
      <w:pPr>
        <w:tabs>
          <w:tab w:val="left" w:pos="7676"/>
        </w:tabs>
        <w:spacing w:before="240"/>
        <w:ind w:left="720"/>
        <w:rPr>
          <w:rFonts w:ascii="Times New Roman" w:hAnsi="Times New Roman" w:cs="Times New Roman"/>
          <w:color w:val="000000" w:themeColor="text1"/>
          <w:sz w:val="24"/>
          <w:szCs w:val="24"/>
        </w:rPr>
      </w:pPr>
      <w:r w:rsidRPr="009622B0">
        <w:rPr>
          <w:rFonts w:ascii="Times New Roman" w:hAnsi="Times New Roman" w:cs="Times New Roman"/>
          <w:color w:val="000000" w:themeColor="text1"/>
          <w:sz w:val="24"/>
          <w:szCs w:val="24"/>
        </w:rPr>
        <w:t>Since then, the COVID-19 crisis that erupted around the world in early 2020 has had a tremendous impact on our industry, employees, and suppliers. Within a span of 11 days, the commercial casino industry went from continued record-breaking growth to complete shutdown. The American gaming industry has never faced a bigger challenge.</w:t>
      </w:r>
    </w:p>
    <w:p w14:paraId="763A20CF" w14:textId="77777777" w:rsidR="002440A1" w:rsidRDefault="002440A1" w:rsidP="002440A1">
      <w:pPr>
        <w:tabs>
          <w:tab w:val="left" w:pos="7676"/>
        </w:tabs>
        <w:spacing w:before="240"/>
        <w:ind w:left="720"/>
        <w:rPr>
          <w:rFonts w:ascii="Times New Roman" w:hAnsi="Times New Roman" w:cs="Times New Roman"/>
          <w:color w:val="000000" w:themeColor="text1"/>
          <w:sz w:val="24"/>
          <w:szCs w:val="24"/>
        </w:rPr>
      </w:pPr>
      <w:r w:rsidRPr="009622B0">
        <w:rPr>
          <w:rFonts w:ascii="Times New Roman" w:hAnsi="Times New Roman" w:cs="Times New Roman"/>
          <w:color w:val="000000" w:themeColor="text1"/>
          <w:sz w:val="24"/>
          <w:szCs w:val="24"/>
        </w:rPr>
        <w:t>Importantly, we will be able to draw on 2019’s strong foundation as the industry rebuilds. Last year</w:t>
      </w:r>
      <w:r>
        <w:rPr>
          <w:rFonts w:ascii="Times New Roman" w:hAnsi="Times New Roman" w:cs="Times New Roman"/>
          <w:color w:val="000000" w:themeColor="text1"/>
          <w:sz w:val="24"/>
          <w:szCs w:val="24"/>
        </w:rPr>
        <w:t xml:space="preserve">, </w:t>
      </w:r>
      <w:r w:rsidRPr="009622B0">
        <w:rPr>
          <w:rFonts w:ascii="Times New Roman" w:hAnsi="Times New Roman" w:cs="Times New Roman"/>
          <w:color w:val="000000" w:themeColor="text1"/>
          <w:sz w:val="24"/>
          <w:szCs w:val="24"/>
        </w:rPr>
        <w:t>Sports betting was being legalized at an unprecedented pace, with 20 states and the District of Columbia having passed legislation allowing consumers to bet on sports with legal, regulated operators.</w:t>
      </w:r>
    </w:p>
    <w:p w14:paraId="2F099F09" w14:textId="77777777" w:rsidR="002440A1" w:rsidRDefault="002440A1" w:rsidP="002440A1">
      <w:pPr>
        <w:tabs>
          <w:tab w:val="left" w:pos="7676"/>
        </w:tabs>
        <w:spacing w:before="240"/>
        <w:ind w:left="720"/>
        <w:rPr>
          <w:rFonts w:ascii="Times New Roman" w:hAnsi="Times New Roman" w:cs="Times New Roman"/>
          <w:color w:val="000000" w:themeColor="text1"/>
          <w:sz w:val="24"/>
          <w:szCs w:val="24"/>
        </w:rPr>
      </w:pPr>
      <w:r w:rsidRPr="004E1C71">
        <w:rPr>
          <w:rFonts w:ascii="Times New Roman" w:hAnsi="Times New Roman" w:cs="Times New Roman"/>
          <w:color w:val="000000" w:themeColor="text1"/>
          <w:sz w:val="24"/>
          <w:szCs w:val="24"/>
        </w:rPr>
        <w:t>With every person having their mobile device, both mobile and social gaming have a huge impact on the online gambling world. As a result, there have been an increase in F2P (free to play) types of game products worldwide.</w:t>
      </w:r>
    </w:p>
    <w:p w14:paraId="1F26DD3C" w14:textId="77777777" w:rsidR="002440A1" w:rsidRPr="00932B4E" w:rsidRDefault="002440A1" w:rsidP="002440A1">
      <w:pPr>
        <w:pStyle w:val="newstext"/>
        <w:shd w:val="clear" w:color="auto" w:fill="FFFFFF"/>
        <w:spacing w:before="0" w:beforeAutospacing="0" w:after="150" w:afterAutospacing="0" w:line="300" w:lineRule="atLeast"/>
        <w:ind w:left="720"/>
        <w:rPr>
          <w:b/>
        </w:rPr>
      </w:pPr>
      <w:r>
        <w:t>The tribal casino gaming industry has reported revenue growth in every year since the Great Recession, and 2019 saw further signs of tribal gaming fulfilling its mission of helping sovereign Indian nations to advance their economic development, with various tribal-owned gaming entities even electing to compete alongside private gaming companies in commercial casino markets such as Pennsylvania, Arkansas, and Indiana.</w:t>
      </w:r>
    </w:p>
    <w:p w14:paraId="31020CC8" w14:textId="77777777" w:rsidR="002440A1" w:rsidRPr="009622B0" w:rsidRDefault="002440A1" w:rsidP="002440A1">
      <w:pPr>
        <w:pStyle w:val="newstext"/>
        <w:numPr>
          <w:ilvl w:val="0"/>
          <w:numId w:val="5"/>
        </w:numPr>
        <w:shd w:val="clear" w:color="auto" w:fill="FFFFFF"/>
        <w:spacing w:before="0" w:beforeAutospacing="0" w:after="150" w:afterAutospacing="0" w:line="300" w:lineRule="atLeast"/>
        <w:rPr>
          <w:b/>
        </w:rPr>
      </w:pPr>
      <w:r w:rsidRPr="009622B0">
        <w:rPr>
          <w:b/>
        </w:rPr>
        <w:t>State of Oregon</w:t>
      </w:r>
    </w:p>
    <w:p w14:paraId="36B12129" w14:textId="77777777" w:rsidR="002440A1" w:rsidRDefault="002440A1" w:rsidP="002440A1">
      <w:pPr>
        <w:pStyle w:val="newstext"/>
        <w:shd w:val="clear" w:color="auto" w:fill="FFFFFF"/>
        <w:spacing w:after="150" w:line="300" w:lineRule="atLeast"/>
        <w:ind w:left="720"/>
      </w:pPr>
      <w:r>
        <w:t>U.S. economic growth has settled in around its potential in recent quarters. The outlook is stable and the risk of recess</w:t>
      </w:r>
      <w:r>
        <w:softHyphen/>
        <w:t>ion is receding. The trade war deescalated with the signing of the Phase One trade deal between China and the U.S. and financial markets calmed following the Federal Reserve’s shift in policy.</w:t>
      </w:r>
    </w:p>
    <w:p w14:paraId="4451E6D4" w14:textId="77777777" w:rsidR="002440A1" w:rsidRDefault="002440A1" w:rsidP="002440A1">
      <w:pPr>
        <w:pStyle w:val="newstext"/>
        <w:shd w:val="clear" w:color="auto" w:fill="FFFFFF"/>
        <w:spacing w:after="150" w:line="300" w:lineRule="atLeast"/>
        <w:ind w:left="720"/>
      </w:pPr>
      <w:r>
        <w:t>During the current recession, income taxes might not fare so poorly in comparison to other revenue instruments. Given the depth and breadth of the current economic downturn, no state revenue system will be spared from pain going forward.</w:t>
      </w:r>
    </w:p>
    <w:p w14:paraId="1511310E" w14:textId="77777777" w:rsidR="002440A1" w:rsidRDefault="002440A1" w:rsidP="002440A1">
      <w:pPr>
        <w:pStyle w:val="newstext"/>
        <w:shd w:val="clear" w:color="auto" w:fill="FFFFFF"/>
        <w:tabs>
          <w:tab w:val="left" w:pos="8501"/>
        </w:tabs>
        <w:spacing w:after="150" w:line="300" w:lineRule="atLeast"/>
        <w:ind w:left="720"/>
      </w:pPr>
      <w:r>
        <w:t>While some taxes will fare better than others, all major revenue sources will face considerable downward pressure given the severity of the recession. The sudden stop in economic activity has led to the largest downward revision to the quarterly forecast that our office has ever had to make. In the baseline (most likely) scenario, General Fund and other major revenues have been reduced relative to the March forecast by $2.7 billion in the current biennium and $4.4 billion in the 2021-23 budget period.</w:t>
      </w:r>
    </w:p>
    <w:p w14:paraId="4F9397FD" w14:textId="77777777" w:rsidR="002440A1" w:rsidRDefault="002440A1" w:rsidP="002440A1">
      <w:pPr>
        <w:pStyle w:val="newstext"/>
        <w:shd w:val="clear" w:color="auto" w:fill="FFFFFF"/>
        <w:tabs>
          <w:tab w:val="left" w:pos="8501"/>
        </w:tabs>
        <w:spacing w:after="0" w:afterAutospacing="0" w:line="300" w:lineRule="atLeast"/>
        <w:ind w:left="720"/>
      </w:pPr>
      <w:r w:rsidRPr="00EC0FF1">
        <w:rPr>
          <w:i/>
          <w:iCs/>
          <w:noProof/>
          <w:sz w:val="22"/>
          <w:szCs w:val="22"/>
        </w:rPr>
        <mc:AlternateContent>
          <mc:Choice Requires="wps">
            <w:drawing>
              <wp:anchor distT="45720" distB="45720" distL="114300" distR="114300" simplePos="0" relativeHeight="251659264" behindDoc="0" locked="0" layoutInCell="1" allowOverlap="1" wp14:anchorId="2F7D7F9A" wp14:editId="7C95058B">
                <wp:simplePos x="0" y="0"/>
                <wp:positionH relativeFrom="column">
                  <wp:posOffset>-635</wp:posOffset>
                </wp:positionH>
                <wp:positionV relativeFrom="paragraph">
                  <wp:posOffset>876300</wp:posOffset>
                </wp:positionV>
                <wp:extent cx="629602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4620"/>
                        </a:xfrm>
                        <a:prstGeom prst="rect">
                          <a:avLst/>
                        </a:prstGeom>
                        <a:solidFill>
                          <a:srgbClr val="FFFFFF"/>
                        </a:solidFill>
                        <a:ln w="9525">
                          <a:solidFill>
                            <a:srgbClr val="000000"/>
                          </a:solidFill>
                          <a:miter lim="800000"/>
                          <a:headEnd/>
                          <a:tailEnd/>
                        </a:ln>
                      </wps:spPr>
                      <wps:txbx>
                        <w:txbxContent>
                          <w:p w14:paraId="3A8141A8" w14:textId="77777777" w:rsidR="002440A1" w:rsidRPr="009622B0" w:rsidRDefault="002440A1" w:rsidP="002440A1">
                            <w:pPr>
                              <w:pStyle w:val="newstext"/>
                              <w:shd w:val="clear" w:color="auto" w:fill="FFFFFF"/>
                              <w:tabs>
                                <w:tab w:val="left" w:pos="8501"/>
                              </w:tabs>
                              <w:spacing w:before="0" w:beforeAutospacing="0" w:after="0" w:afterAutospacing="0" w:line="300" w:lineRule="atLeast"/>
                              <w:ind w:left="720"/>
                              <w:rPr>
                                <w:i/>
                                <w:iCs/>
                                <w:sz w:val="22"/>
                                <w:szCs w:val="22"/>
                              </w:rPr>
                            </w:pPr>
                            <w:r w:rsidRPr="009622B0">
                              <w:rPr>
                                <w:i/>
                                <w:iCs/>
                                <w:sz w:val="22"/>
                                <w:szCs w:val="22"/>
                              </w:rPr>
                              <w:t>Pre-COVID-19 data for 2019</w:t>
                            </w:r>
                          </w:p>
                          <w:p w14:paraId="0BC08FF1" w14:textId="77777777" w:rsidR="002440A1" w:rsidRPr="00932B4E" w:rsidRDefault="002440A1" w:rsidP="002440A1">
                            <w:pPr>
                              <w:pStyle w:val="newstext"/>
                              <w:shd w:val="clear" w:color="auto" w:fill="FFFFFF"/>
                              <w:tabs>
                                <w:tab w:val="left" w:pos="8779"/>
                              </w:tabs>
                              <w:spacing w:before="60" w:beforeAutospacing="0" w:after="0" w:afterAutospacing="0"/>
                              <w:ind w:left="720"/>
                              <w:rPr>
                                <w:sz w:val="22"/>
                                <w:szCs w:val="22"/>
                              </w:rPr>
                            </w:pPr>
                            <w:r w:rsidRPr="00932B4E">
                              <w:rPr>
                                <w:sz w:val="22"/>
                                <w:szCs w:val="22"/>
                              </w:rPr>
                              <w:t xml:space="preserve">The Oregon travel industry continued to exhibit strong growth in 2019, as all measures of travel activity were up over 2018. </w:t>
                            </w:r>
                          </w:p>
                          <w:p w14:paraId="755ED615" w14:textId="77777777" w:rsidR="002440A1" w:rsidRPr="00932B4E" w:rsidRDefault="002440A1" w:rsidP="002440A1">
                            <w:pPr>
                              <w:pStyle w:val="newstext"/>
                              <w:shd w:val="clear" w:color="auto" w:fill="FFFFFF"/>
                              <w:tabs>
                                <w:tab w:val="left" w:pos="8779"/>
                              </w:tabs>
                              <w:spacing w:before="60" w:beforeAutospacing="0" w:after="0" w:afterAutospacing="0"/>
                              <w:ind w:left="720"/>
                              <w:rPr>
                                <w:sz w:val="22"/>
                                <w:szCs w:val="22"/>
                              </w:rPr>
                            </w:pPr>
                            <w:r w:rsidRPr="00932B4E">
                              <w:rPr>
                                <w:sz w:val="22"/>
                                <w:szCs w:val="22"/>
                              </w:rPr>
                              <w:t>Total direct travel spending in Oregon was $12.8 billion in 2019. The annual increase from 2018 was 3.6 percent in current dollars. In real, inflation-adjusted, dollars travel spending increased by 1.7 percent. Visitor spending, excluding transportation, increased by 3.1 percent in current dollars. This is the tenth consecutive year of growth in travel spending following the recession.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D7F9A" id="_x0000_t202" coordsize="21600,21600" o:spt="202" path="m,l,21600r21600,l21600,xe">
                <v:stroke joinstyle="miter"/>
                <v:path gradientshapeok="t" o:connecttype="rect"/>
              </v:shapetype>
              <v:shape id="Text Box 2" o:spid="_x0000_s1026" type="#_x0000_t202" style="position:absolute;left:0;text-align:left;margin-left:-.05pt;margin-top:69pt;width:49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">
                <v:textbox style="mso-fit-shape-to-text:t">
                  <w:txbxContent>
                    <w:p w14:paraId="3A8141A8" w14:textId="77777777" w:rsidR="002440A1" w:rsidRPr="009622B0" w:rsidRDefault="002440A1" w:rsidP="002440A1">
                      <w:pPr>
                        <w:pStyle w:val="newstext"/>
                        <w:shd w:val="clear" w:color="auto" w:fill="FFFFFF"/>
                        <w:tabs>
                          <w:tab w:val="left" w:pos="8501"/>
                        </w:tabs>
                        <w:spacing w:before="0" w:beforeAutospacing="0" w:after="0" w:afterAutospacing="0" w:line="300" w:lineRule="atLeast"/>
                        <w:ind w:left="720"/>
                        <w:rPr>
                          <w:i/>
                          <w:iCs/>
                          <w:sz w:val="22"/>
                          <w:szCs w:val="22"/>
                        </w:rPr>
                      </w:pPr>
                      <w:r w:rsidRPr="009622B0">
                        <w:rPr>
                          <w:i/>
                          <w:iCs/>
                          <w:sz w:val="22"/>
                          <w:szCs w:val="22"/>
                        </w:rPr>
                        <w:t>Pre-COVID-19 data for 2019</w:t>
                      </w:r>
                    </w:p>
                    <w:p w14:paraId="0BC08FF1" w14:textId="77777777" w:rsidR="002440A1" w:rsidRPr="00932B4E" w:rsidRDefault="002440A1" w:rsidP="002440A1">
                      <w:pPr>
                        <w:pStyle w:val="newstext"/>
                        <w:shd w:val="clear" w:color="auto" w:fill="FFFFFF"/>
                        <w:tabs>
                          <w:tab w:val="left" w:pos="8779"/>
                        </w:tabs>
                        <w:spacing w:before="60" w:beforeAutospacing="0" w:after="0" w:afterAutospacing="0"/>
                        <w:ind w:left="720"/>
                        <w:rPr>
                          <w:sz w:val="22"/>
                          <w:szCs w:val="22"/>
                        </w:rPr>
                      </w:pPr>
                      <w:r w:rsidRPr="00932B4E">
                        <w:rPr>
                          <w:sz w:val="22"/>
                          <w:szCs w:val="22"/>
                        </w:rPr>
                        <w:t xml:space="preserve">The Oregon travel industry continued to exhibit strong growth in 2019, as all measures of travel activity were up over 2018. </w:t>
                      </w:r>
                    </w:p>
                    <w:p w14:paraId="755ED615" w14:textId="77777777" w:rsidR="002440A1" w:rsidRPr="00932B4E" w:rsidRDefault="002440A1" w:rsidP="002440A1">
                      <w:pPr>
                        <w:pStyle w:val="newstext"/>
                        <w:shd w:val="clear" w:color="auto" w:fill="FFFFFF"/>
                        <w:tabs>
                          <w:tab w:val="left" w:pos="8779"/>
                        </w:tabs>
                        <w:spacing w:before="60" w:beforeAutospacing="0" w:after="0" w:afterAutospacing="0"/>
                        <w:ind w:left="720"/>
                        <w:rPr>
                          <w:sz w:val="22"/>
                          <w:szCs w:val="22"/>
                        </w:rPr>
                      </w:pPr>
                      <w:r w:rsidRPr="00932B4E">
                        <w:rPr>
                          <w:sz w:val="22"/>
                          <w:szCs w:val="22"/>
                        </w:rPr>
                        <w:t>Total direct travel spending in Oregon was $12.8 billion in 2019. The annual increase from 2018 was 3.6 percent in current dollars. In real, inflation-adjusted, dollars travel spending increased by 1.7 percent. Visitor spending, excluding transportation, increased by 3.1 percent in current dollars. This is the tenth consecutive year of growth in travel spending following the recession.</w:t>
                      </w:r>
                    </w:p>
                  </w:txbxContent>
                </v:textbox>
                <w10:wrap type="square"/>
              </v:shape>
            </w:pict>
          </mc:Fallback>
        </mc:AlternateContent>
      </w:r>
      <w:r w:rsidRPr="007847D3">
        <w:t>Fortunately, Oregon is better positioned than ever before to weather a revenue downturn.  Automatic deposits into the Rainy-Day Fund and Education Stability Fund have added up over the decade-long economic expansion. Oregon is expected to end the biennium with nearly $3 billion in reserves set aside, nearly 14% of the budget.</w:t>
      </w:r>
    </w:p>
    <w:p w14:paraId="6C3A9DB3" w14:textId="77777777" w:rsidR="002440A1" w:rsidRDefault="002440A1" w:rsidP="002440A1">
      <w:pPr>
        <w:rPr>
          <w:rFonts w:ascii="Times New Roman" w:eastAsia="Times New Roman" w:hAnsi="Times New Roman" w:cs="Times New Roman"/>
          <w:i/>
          <w:iCs/>
        </w:rPr>
      </w:pPr>
      <w:r>
        <w:rPr>
          <w:i/>
          <w:iCs/>
        </w:rPr>
        <w:br w:type="page"/>
      </w:r>
    </w:p>
    <w:p w14:paraId="1FC0BF3C" w14:textId="77777777" w:rsidR="002440A1" w:rsidRPr="00EC0FF1" w:rsidRDefault="002440A1" w:rsidP="002440A1">
      <w:pPr>
        <w:pStyle w:val="newstext"/>
        <w:shd w:val="clear" w:color="auto" w:fill="FFFFFF"/>
        <w:tabs>
          <w:tab w:val="right" w:pos="9720"/>
        </w:tabs>
        <w:spacing w:before="0" w:beforeAutospacing="0" w:after="150" w:line="300" w:lineRule="atLeast"/>
        <w:ind w:left="720"/>
        <w:rPr>
          <w:i/>
          <w:iCs/>
          <w:sz w:val="22"/>
          <w:szCs w:val="22"/>
        </w:rPr>
      </w:pPr>
      <w:r w:rsidRPr="00EC0FF1">
        <w:rPr>
          <w:i/>
          <w:iCs/>
          <w:sz w:val="22"/>
          <w:szCs w:val="22"/>
        </w:rPr>
        <w:t>COVID_19 update from State of Oregon</w:t>
      </w:r>
      <w:r>
        <w:rPr>
          <w:i/>
          <w:iCs/>
          <w:sz w:val="22"/>
          <w:szCs w:val="22"/>
        </w:rPr>
        <w:t xml:space="preserve"> June 2020 Economic and Revenue Forecast slide show</w:t>
      </w:r>
    </w:p>
    <w:p w14:paraId="40752728" w14:textId="77777777" w:rsidR="002440A1" w:rsidRDefault="002440A1" w:rsidP="002440A1">
      <w:pPr>
        <w:pStyle w:val="newstext"/>
        <w:shd w:val="clear" w:color="auto" w:fill="FFFFFF"/>
        <w:tabs>
          <w:tab w:val="right" w:pos="9720"/>
        </w:tabs>
        <w:spacing w:after="150" w:line="300" w:lineRule="atLeast"/>
      </w:pPr>
      <w:r w:rsidRPr="00EC0FF1">
        <w:rPr>
          <w:noProof/>
        </w:rPr>
        <w:drawing>
          <wp:inline distT="0" distB="0" distL="0" distR="0" wp14:anchorId="7C029416" wp14:editId="09F81418">
            <wp:extent cx="5443268" cy="3057638"/>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3268" cy="3057638"/>
                    </a:xfrm>
                    <a:prstGeom prst="rect">
                      <a:avLst/>
                    </a:prstGeom>
                    <a:noFill/>
                    <a:ln>
                      <a:noFill/>
                    </a:ln>
                  </pic:spPr>
                </pic:pic>
              </a:graphicData>
            </a:graphic>
          </wp:inline>
        </w:drawing>
      </w:r>
    </w:p>
    <w:p w14:paraId="696BF282" w14:textId="77777777" w:rsidR="002440A1" w:rsidRPr="004E1C71" w:rsidRDefault="002440A1" w:rsidP="002440A1">
      <w:pPr>
        <w:pStyle w:val="newstext"/>
        <w:numPr>
          <w:ilvl w:val="0"/>
          <w:numId w:val="5"/>
        </w:numPr>
        <w:spacing w:before="0" w:beforeAutospacing="0" w:after="150" w:afterAutospacing="0" w:line="300" w:lineRule="atLeast"/>
        <w:rPr>
          <w:rFonts w:eastAsiaTheme="minorHAnsi"/>
          <w:b/>
          <w:color w:val="000000" w:themeColor="text1"/>
        </w:rPr>
      </w:pPr>
      <w:r w:rsidRPr="004E1C71">
        <w:rPr>
          <w:rFonts w:eastAsiaTheme="minorHAnsi"/>
          <w:b/>
          <w:color w:val="000000" w:themeColor="text1"/>
        </w:rPr>
        <w:t xml:space="preserve">Central Oregon </w:t>
      </w:r>
    </w:p>
    <w:p w14:paraId="6D436248" w14:textId="77777777" w:rsidR="002440A1" w:rsidRDefault="002440A1" w:rsidP="002440A1">
      <w:pPr>
        <w:pStyle w:val="newstext"/>
        <w:shd w:val="clear" w:color="auto" w:fill="FFFFFF"/>
        <w:tabs>
          <w:tab w:val="left" w:pos="8779"/>
        </w:tabs>
        <w:spacing w:after="150" w:line="300" w:lineRule="atLeast"/>
        <w:ind w:left="720"/>
      </w:pPr>
      <w:r w:rsidRPr="00115851">
        <w:t xml:space="preserve">As of this writing </w:t>
      </w:r>
      <w:r>
        <w:t>very few Oregon</w:t>
      </w:r>
      <w:r w:rsidRPr="00115851">
        <w:t xml:space="preserve"> Industry reports are available for statistics or projected industry revenue.</w:t>
      </w:r>
      <w:r>
        <w:t xml:space="preserve"> </w:t>
      </w:r>
    </w:p>
    <w:p w14:paraId="4D1E4410" w14:textId="77777777" w:rsidR="002440A1" w:rsidRDefault="002440A1" w:rsidP="002440A1">
      <w:pPr>
        <w:pStyle w:val="newstext"/>
        <w:shd w:val="clear" w:color="auto" w:fill="FFFFFF"/>
        <w:tabs>
          <w:tab w:val="left" w:pos="8779"/>
        </w:tabs>
        <w:spacing w:after="150" w:line="300" w:lineRule="atLeast"/>
        <w:ind w:left="720"/>
      </w:pPr>
      <w:r>
        <w:t xml:space="preserve">The Oregon travel industry continued to exhibit strong growth in 2019, as all measures of travel activity were up over 2018. </w:t>
      </w:r>
    </w:p>
    <w:p w14:paraId="1D2606D6" w14:textId="77777777" w:rsidR="002440A1" w:rsidRPr="00115851" w:rsidRDefault="002440A1" w:rsidP="002440A1">
      <w:pPr>
        <w:pStyle w:val="newstext"/>
        <w:shd w:val="clear" w:color="auto" w:fill="FFFFFF"/>
        <w:tabs>
          <w:tab w:val="left" w:pos="8779"/>
        </w:tabs>
        <w:spacing w:after="150" w:line="300" w:lineRule="atLeast"/>
        <w:ind w:left="720"/>
      </w:pPr>
      <w:r>
        <w:t>Total direct travel spending in Oregon was $12.8 billion in 2019. The annual increase from 2018 was 3.6 percent in current dollars. In real, inflation-adjusted, dollars travel spending increased by 1.7 percent. Visitor spending, excluding transportation, increased by 3.1 percent in current dollars. This is the tenth consecutive year of growth in travel spending following the recession.</w:t>
      </w:r>
    </w:p>
    <w:p w14:paraId="56E0FE3B" w14:textId="77777777" w:rsidR="002440A1" w:rsidRPr="00115851" w:rsidRDefault="002440A1" w:rsidP="002440A1">
      <w:pPr>
        <w:pStyle w:val="ListParagraph"/>
        <w:numPr>
          <w:ilvl w:val="0"/>
          <w:numId w:val="5"/>
        </w:numPr>
        <w:spacing w:after="0"/>
        <w:rPr>
          <w:rFonts w:ascii="Times New Roman" w:hAnsi="Times New Roman" w:cs="Times New Roman"/>
          <w:b/>
          <w:color w:val="000000" w:themeColor="text1"/>
          <w:sz w:val="24"/>
          <w:szCs w:val="24"/>
        </w:rPr>
      </w:pPr>
      <w:r w:rsidRPr="00115851">
        <w:rPr>
          <w:rFonts w:ascii="Times New Roman" w:hAnsi="Times New Roman" w:cs="Times New Roman"/>
          <w:b/>
          <w:color w:val="000000" w:themeColor="text1"/>
          <w:sz w:val="24"/>
          <w:szCs w:val="24"/>
        </w:rPr>
        <w:t xml:space="preserve">Oregon Gaming Trends </w:t>
      </w:r>
    </w:p>
    <w:p w14:paraId="10860A02" w14:textId="77777777" w:rsidR="002440A1" w:rsidRPr="00115851" w:rsidRDefault="002440A1" w:rsidP="002440A1">
      <w:pPr>
        <w:pStyle w:val="newstext"/>
        <w:shd w:val="clear" w:color="auto" w:fill="FFFFFF"/>
        <w:tabs>
          <w:tab w:val="left" w:pos="8779"/>
        </w:tabs>
        <w:spacing w:after="150" w:line="300" w:lineRule="atLeast"/>
        <w:ind w:left="720"/>
      </w:pPr>
      <w:r w:rsidRPr="00115851">
        <w:t>As of this writing very few Industry reports are available for statistics or projected industry revenue</w:t>
      </w:r>
      <w:r>
        <w:t xml:space="preserve"> for Oregon. This lack of analytics and statistics is likely related to the current COVID-19 situation.</w:t>
      </w:r>
    </w:p>
    <w:p w14:paraId="013AA9C6" w14:textId="77777777" w:rsidR="002440A1" w:rsidRDefault="002440A1" w:rsidP="002440A1">
      <w:pPr>
        <w:spacing w:before="240" w:after="0"/>
        <w:ind w:left="720"/>
        <w:rPr>
          <w:rFonts w:ascii="Times New Roman" w:hAnsi="Times New Roman" w:cs="Times New Roman"/>
          <w:color w:val="000000" w:themeColor="text1"/>
          <w:sz w:val="24"/>
          <w:szCs w:val="24"/>
        </w:rPr>
      </w:pPr>
      <w:r w:rsidRPr="00115851">
        <w:rPr>
          <w:rFonts w:ascii="Times New Roman" w:hAnsi="Times New Roman" w:cs="Times New Roman"/>
          <w:color w:val="000000" w:themeColor="text1"/>
          <w:sz w:val="24"/>
          <w:szCs w:val="24"/>
        </w:rPr>
        <w:t xml:space="preserve">As IHC continues to develop a dedicated Host program our goals include continued increases in trips/spend per trip &amp; ADT from our loyal customer base. </w:t>
      </w:r>
      <w:r>
        <w:rPr>
          <w:rFonts w:ascii="Times New Roman" w:hAnsi="Times New Roman" w:cs="Times New Roman"/>
          <w:color w:val="000000" w:themeColor="text1"/>
          <w:sz w:val="24"/>
          <w:szCs w:val="24"/>
        </w:rPr>
        <w:t>With an emphasis on reaching the top revenue generators in our database. This is the approach industry experts most often advise as the most effective approach to recovery during the unique environment.</w:t>
      </w:r>
    </w:p>
    <w:p w14:paraId="428FC980" w14:textId="77777777" w:rsidR="002440A1" w:rsidRDefault="002440A1" w:rsidP="002440A1">
      <w:pPr>
        <w:spacing w:before="240" w:after="0"/>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Promotions will continue to take on a different look with less interaction, fewer BIG prize promotions &amp; again targeting our highest ROI (return on investment) promotional models.</w:t>
      </w:r>
    </w:p>
    <w:p w14:paraId="213212AA" w14:textId="77777777" w:rsidR="002440A1" w:rsidRPr="00115851" w:rsidRDefault="002440A1" w:rsidP="002440A1">
      <w:pPr>
        <w:spacing w:before="240" w:after="0"/>
        <w:ind w:left="720"/>
        <w:rPr>
          <w:rFonts w:ascii="Times New Roman" w:hAnsi="Times New Roman" w:cs="Times New Roman"/>
          <w:color w:val="000000" w:themeColor="text1"/>
          <w:sz w:val="24"/>
          <w:szCs w:val="24"/>
        </w:rPr>
      </w:pPr>
      <w:r w:rsidRPr="00115851">
        <w:rPr>
          <w:rFonts w:ascii="Times New Roman" w:hAnsi="Times New Roman" w:cs="Times New Roman"/>
          <w:color w:val="000000" w:themeColor="text1"/>
          <w:sz w:val="24"/>
          <w:szCs w:val="24"/>
        </w:rPr>
        <w:t>The IHC continues development programs to increase carded play up at the Plateau Travel Plaza game room and at IHC. Having a marketing presence on site at PTP would improve these efforts.</w:t>
      </w:r>
    </w:p>
    <w:p w14:paraId="1902B690" w14:textId="77777777" w:rsidR="002440A1" w:rsidRDefault="002440A1" w:rsidP="002440A1">
      <w:pPr>
        <w:spacing w:before="240"/>
        <w:ind w:left="720"/>
        <w:rPr>
          <w:rFonts w:ascii="Times New Roman" w:hAnsi="Times New Roman" w:cs="Times New Roman"/>
          <w:color w:val="000000" w:themeColor="text1"/>
          <w:sz w:val="24"/>
          <w:szCs w:val="24"/>
        </w:rPr>
      </w:pPr>
      <w:r w:rsidRPr="00115851">
        <w:rPr>
          <w:rFonts w:ascii="Times New Roman" w:hAnsi="Times New Roman" w:cs="Times New Roman"/>
          <w:color w:val="000000" w:themeColor="text1"/>
          <w:sz w:val="24"/>
          <w:szCs w:val="24"/>
        </w:rPr>
        <w:t>Our continued goal will be to develop property amenities which will expand our market reach and give us the opportunity to extend the stay of those visitors from our customer base. Reviewing new ventures for expansion of amenities could include, sports-betting, igaming</w:t>
      </w:r>
      <w:r>
        <w:rPr>
          <w:rFonts w:ascii="Times New Roman" w:hAnsi="Times New Roman" w:cs="Times New Roman"/>
          <w:color w:val="000000" w:themeColor="text1"/>
          <w:sz w:val="24"/>
          <w:szCs w:val="24"/>
        </w:rPr>
        <w:t xml:space="preserve"> or social gaming</w:t>
      </w:r>
      <w:r w:rsidRPr="00115851">
        <w:rPr>
          <w:rFonts w:ascii="Times New Roman" w:hAnsi="Times New Roman" w:cs="Times New Roman"/>
          <w:color w:val="000000" w:themeColor="text1"/>
          <w:sz w:val="24"/>
          <w:szCs w:val="24"/>
        </w:rPr>
        <w:t>, as well as hotel and entertainment venue and overall expansion.</w:t>
      </w:r>
    </w:p>
    <w:p w14:paraId="18226BA3" w14:textId="77777777" w:rsidR="002440A1" w:rsidRDefault="002440A1" w:rsidP="002440A1">
      <w:pPr>
        <w:spacing w:before="240"/>
        <w:rPr>
          <w:rFonts w:ascii="Times New Roman" w:hAnsi="Times New Roman" w:cs="Times New Roman"/>
          <w:b/>
          <w:bCs/>
          <w:color w:val="000000" w:themeColor="text1"/>
          <w:sz w:val="24"/>
          <w:szCs w:val="24"/>
        </w:rPr>
      </w:pPr>
      <w:r w:rsidRPr="007847D3">
        <w:rPr>
          <w:rFonts w:ascii="Times New Roman" w:hAnsi="Times New Roman" w:cs="Times New Roman"/>
          <w:b/>
          <w:bCs/>
          <w:color w:val="000000" w:themeColor="text1"/>
          <w:sz w:val="24"/>
          <w:szCs w:val="24"/>
        </w:rPr>
        <w:t>Covid-19 Specific Consideration</w:t>
      </w:r>
      <w:r>
        <w:rPr>
          <w:rFonts w:ascii="Times New Roman" w:hAnsi="Times New Roman" w:cs="Times New Roman"/>
          <w:b/>
          <w:bCs/>
          <w:color w:val="000000" w:themeColor="text1"/>
          <w:sz w:val="24"/>
          <w:szCs w:val="24"/>
        </w:rPr>
        <w:t xml:space="preserve"> Global </w:t>
      </w:r>
    </w:p>
    <w:p w14:paraId="7B87FDF7" w14:textId="77777777" w:rsidR="002440A1" w:rsidRDefault="002440A1" w:rsidP="002440A1">
      <w:pPr>
        <w:pStyle w:val="newstext"/>
        <w:shd w:val="clear" w:color="auto" w:fill="FFFFFF"/>
        <w:tabs>
          <w:tab w:val="left" w:pos="3960"/>
        </w:tabs>
        <w:spacing w:before="0" w:beforeAutospacing="0" w:after="150" w:afterAutospacing="0" w:line="300" w:lineRule="atLeast"/>
        <w:ind w:left="720"/>
      </w:pPr>
      <w:r w:rsidRPr="007847D3">
        <w:t>One risk to the U.S. and global outlook is the potential human, social, and economic impacts of the coronavirus. Economically the worst-case scenario is fears over the virus are a coordinating event that serves as a recession catalyst. Other direct impact channels, however small here in the U.S., include supply chain disruptions, lower volumes of trade, reduced Chinese tourism, and increased financial market uncertainties.</w:t>
      </w:r>
    </w:p>
    <w:p w14:paraId="2B26DDF3" w14:textId="77777777" w:rsidR="002440A1" w:rsidRDefault="002440A1" w:rsidP="002440A1">
      <w:pPr>
        <w:pStyle w:val="newstext"/>
        <w:shd w:val="clear" w:color="auto" w:fill="FFFFFF"/>
        <w:spacing w:before="0" w:beforeAutospacing="0" w:after="150" w:afterAutospacing="0" w:line="300" w:lineRule="atLeast"/>
        <w:ind w:left="720"/>
      </w:pPr>
      <w:r>
        <w:t>A report generated by Red Circle Agency has studied a four-week period of open casino properties, in 9 states. Including 19 properties &amp; 110,000 players.</w:t>
      </w:r>
    </w:p>
    <w:p w14:paraId="0D1D7871" w14:textId="77777777" w:rsidR="002440A1" w:rsidRDefault="002440A1" w:rsidP="002440A1">
      <w:pPr>
        <w:pStyle w:val="newstext"/>
        <w:shd w:val="clear" w:color="auto" w:fill="FFFFFF"/>
        <w:spacing w:before="0" w:beforeAutospacing="0" w:after="150" w:afterAutospacing="0" w:line="300" w:lineRule="atLeast"/>
        <w:ind w:left="720"/>
      </w:pPr>
      <w:r>
        <w:t xml:space="preserve">During week four of this study we see for the first time that the volume of casino guests is strongly impacted with a considerable impact to revenue as well. </w:t>
      </w:r>
    </w:p>
    <w:p w14:paraId="3EA22D44" w14:textId="77777777" w:rsidR="002440A1" w:rsidRDefault="002440A1" w:rsidP="002440A1">
      <w:pPr>
        <w:pStyle w:val="newstext"/>
        <w:shd w:val="clear" w:color="auto" w:fill="FFFFFF"/>
        <w:spacing w:before="0" w:beforeAutospacing="0" w:after="150" w:afterAutospacing="0" w:line="300" w:lineRule="atLeast"/>
        <w:ind w:left="720"/>
      </w:pPr>
      <w:r>
        <w:t xml:space="preserve">Across all the aggregated data we are seeing a loss of 18.9% of revenue and 35.2% decline in players. Individual properties range from being up 5% to experiencing a 51% decline. </w:t>
      </w:r>
    </w:p>
    <w:p w14:paraId="6EAF559A" w14:textId="77777777" w:rsidR="002440A1" w:rsidRDefault="002440A1" w:rsidP="002440A1">
      <w:pPr>
        <w:pStyle w:val="newstext"/>
        <w:shd w:val="clear" w:color="auto" w:fill="FFFFFF"/>
        <w:spacing w:before="0" w:beforeAutospacing="0" w:after="150" w:afterAutospacing="0" w:line="300" w:lineRule="atLeast"/>
        <w:ind w:left="720"/>
      </w:pPr>
      <w:r>
        <w:t>Week four breaks the trends established in the first three weeks of this study and we are anxious for week five data to determine of this is the start of a new trend or an anomaly.</w:t>
      </w:r>
    </w:p>
    <w:p w14:paraId="5773F539" w14:textId="77777777" w:rsidR="002440A1" w:rsidRDefault="002440A1" w:rsidP="002440A1">
      <w:pPr>
        <w:pStyle w:val="newstext"/>
        <w:shd w:val="clear" w:color="auto" w:fill="FFFFFF"/>
        <w:spacing w:before="0" w:beforeAutospacing="0" w:after="150" w:afterAutospacing="0" w:line="300" w:lineRule="atLeast"/>
        <w:ind w:left="720"/>
      </w:pPr>
      <w:r>
        <w:t>The results show a decline year over year, but it is not a decline in recent spend. Below we show the spend level over the last few weeks. Week four was a strong week in 2020, but it did not perform like a traditional holiday weekend, and that is to be expected.</w:t>
      </w:r>
    </w:p>
    <w:p w14:paraId="1693645A" w14:textId="77777777" w:rsidR="002440A1" w:rsidRPr="0079068E" w:rsidRDefault="002440A1" w:rsidP="002440A1">
      <w:pPr>
        <w:pStyle w:val="newstext"/>
        <w:shd w:val="clear" w:color="auto" w:fill="FFFFFF"/>
        <w:spacing w:before="0" w:beforeAutospacing="0" w:after="150" w:afterAutospacing="0" w:line="300" w:lineRule="atLeast"/>
        <w:ind w:left="720"/>
        <w:jc w:val="center"/>
        <w:rPr>
          <w:highlight w:val="yellow"/>
        </w:rPr>
      </w:pPr>
      <w:r w:rsidRPr="006E59EE">
        <w:rPr>
          <w:noProof/>
          <w:highlight w:val="yellow"/>
        </w:rPr>
        <w:drawing>
          <wp:inline distT="0" distB="0" distL="0" distR="0" wp14:anchorId="0D279930" wp14:editId="432C9051">
            <wp:extent cx="3269483" cy="1065254"/>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7984" cy="1068024"/>
                    </a:xfrm>
                    <a:prstGeom prst="rect">
                      <a:avLst/>
                    </a:prstGeom>
                    <a:noFill/>
                    <a:ln>
                      <a:noFill/>
                    </a:ln>
                  </pic:spPr>
                </pic:pic>
              </a:graphicData>
            </a:graphic>
          </wp:inline>
        </w:drawing>
      </w:r>
    </w:p>
    <w:p w14:paraId="1C5364B4" w14:textId="35894090" w:rsidR="0079068E" w:rsidRDefault="0079068E" w:rsidP="00B81FEA">
      <w:pPr>
        <w:jc w:val="both"/>
        <w:rPr>
          <w:rFonts w:ascii="Times New Roman" w:hAnsi="Times New Roman" w:cs="Times New Roman"/>
          <w:b/>
          <w:color w:val="000000" w:themeColor="text1"/>
          <w:sz w:val="24"/>
          <w:szCs w:val="24"/>
        </w:rPr>
      </w:pPr>
    </w:p>
    <w:p w14:paraId="6D7EA41C" w14:textId="2E6AB12C" w:rsidR="002440A1" w:rsidRDefault="002440A1" w:rsidP="00B81FEA">
      <w:pPr>
        <w:jc w:val="both"/>
        <w:rPr>
          <w:rFonts w:ascii="Times New Roman" w:hAnsi="Times New Roman" w:cs="Times New Roman"/>
          <w:b/>
          <w:color w:val="000000" w:themeColor="text1"/>
          <w:sz w:val="24"/>
          <w:szCs w:val="24"/>
        </w:rPr>
      </w:pPr>
    </w:p>
    <w:p w14:paraId="4E1BA725" w14:textId="15E81F32" w:rsidR="002440A1" w:rsidRDefault="002440A1" w:rsidP="00B81FEA">
      <w:pPr>
        <w:jc w:val="both"/>
        <w:rPr>
          <w:rFonts w:ascii="Times New Roman" w:hAnsi="Times New Roman" w:cs="Times New Roman"/>
          <w:b/>
          <w:color w:val="000000" w:themeColor="text1"/>
          <w:sz w:val="24"/>
          <w:szCs w:val="24"/>
        </w:rPr>
      </w:pPr>
    </w:p>
    <w:p w14:paraId="05017219" w14:textId="2382CDA6" w:rsidR="002440A1" w:rsidRDefault="002440A1" w:rsidP="00B81FEA">
      <w:pPr>
        <w:jc w:val="both"/>
        <w:rPr>
          <w:rFonts w:ascii="Times New Roman" w:hAnsi="Times New Roman" w:cs="Times New Roman"/>
          <w:b/>
          <w:color w:val="000000" w:themeColor="text1"/>
          <w:sz w:val="24"/>
          <w:szCs w:val="24"/>
        </w:rPr>
      </w:pPr>
    </w:p>
    <w:p w14:paraId="6C18255B" w14:textId="755DFBE8" w:rsidR="002440A1" w:rsidRDefault="002440A1" w:rsidP="00B81FEA">
      <w:pPr>
        <w:jc w:val="both"/>
        <w:rPr>
          <w:rFonts w:ascii="Times New Roman" w:hAnsi="Times New Roman" w:cs="Times New Roman"/>
          <w:b/>
          <w:color w:val="000000" w:themeColor="text1"/>
          <w:sz w:val="24"/>
          <w:szCs w:val="24"/>
        </w:rPr>
      </w:pPr>
    </w:p>
    <w:p w14:paraId="3195EA32" w14:textId="77777777" w:rsidR="002440A1" w:rsidRDefault="002440A1" w:rsidP="00B81FEA">
      <w:pPr>
        <w:jc w:val="both"/>
        <w:rPr>
          <w:rFonts w:ascii="Times New Roman" w:hAnsi="Times New Roman" w:cs="Times New Roman"/>
          <w:b/>
          <w:color w:val="000000" w:themeColor="text1"/>
          <w:sz w:val="24"/>
          <w:szCs w:val="24"/>
        </w:rPr>
      </w:pPr>
    </w:p>
    <w:p w14:paraId="46684899" w14:textId="5D3383C8" w:rsidR="00131756" w:rsidRPr="009C70F5" w:rsidRDefault="00090A0C" w:rsidP="00B81FEA">
      <w:pPr>
        <w:jc w:val="both"/>
        <w:rPr>
          <w:rFonts w:ascii="Times New Roman" w:hAnsi="Times New Roman" w:cs="Times New Roman"/>
          <w:b/>
          <w:color w:val="000000" w:themeColor="text1"/>
          <w:sz w:val="24"/>
          <w:szCs w:val="24"/>
        </w:rPr>
      </w:pPr>
      <w:r w:rsidRPr="009C70F5">
        <w:rPr>
          <w:rFonts w:ascii="Times New Roman" w:hAnsi="Times New Roman" w:cs="Times New Roman"/>
          <w:b/>
          <w:color w:val="000000" w:themeColor="text1"/>
          <w:sz w:val="24"/>
          <w:szCs w:val="24"/>
        </w:rPr>
        <w:t xml:space="preserve">Indian Head Casino – Management Plan and </w:t>
      </w:r>
      <w:r w:rsidR="00131756" w:rsidRPr="009C70F5">
        <w:rPr>
          <w:rFonts w:ascii="Times New Roman" w:hAnsi="Times New Roman" w:cs="Times New Roman"/>
          <w:b/>
          <w:color w:val="000000" w:themeColor="text1"/>
          <w:sz w:val="24"/>
          <w:szCs w:val="24"/>
        </w:rPr>
        <w:t>Assumptions:</w:t>
      </w:r>
    </w:p>
    <w:p w14:paraId="29B5E72E" w14:textId="77777777" w:rsidR="005D18DF" w:rsidRPr="009C70F5" w:rsidRDefault="005D18DF" w:rsidP="00F223F0">
      <w:pPr>
        <w:jc w:val="both"/>
        <w:rPr>
          <w:rFonts w:ascii="Times New Roman" w:eastAsia="Times New Roman" w:hAnsi="Times New Roman" w:cs="Times New Roman"/>
          <w:b/>
          <w:color w:val="000000" w:themeColor="text1"/>
          <w:sz w:val="24"/>
          <w:szCs w:val="24"/>
        </w:rPr>
      </w:pPr>
      <w:r w:rsidRPr="009C70F5">
        <w:rPr>
          <w:rFonts w:ascii="Times New Roman" w:eastAsia="Times New Roman" w:hAnsi="Times New Roman" w:cs="Times New Roman"/>
          <w:b/>
          <w:color w:val="000000" w:themeColor="text1"/>
          <w:sz w:val="24"/>
          <w:szCs w:val="24"/>
        </w:rPr>
        <w:t xml:space="preserve">Casino </w:t>
      </w:r>
    </w:p>
    <w:p w14:paraId="4272A222" w14:textId="78E7C547" w:rsidR="000A582A" w:rsidRDefault="00B81FEA" w:rsidP="00DA0F4E">
      <w:pPr>
        <w:jc w:val="both"/>
        <w:rPr>
          <w:rFonts w:ascii="Times New Roman" w:eastAsia="Times New Roman" w:hAnsi="Times New Roman" w:cs="Times New Roman"/>
          <w:color w:val="000000" w:themeColor="text1"/>
          <w:sz w:val="24"/>
          <w:szCs w:val="24"/>
        </w:rPr>
      </w:pPr>
      <w:r w:rsidRPr="009C70F5">
        <w:rPr>
          <w:rFonts w:ascii="Times New Roman" w:eastAsia="Times New Roman" w:hAnsi="Times New Roman" w:cs="Times New Roman"/>
          <w:color w:val="000000" w:themeColor="text1"/>
          <w:sz w:val="24"/>
          <w:szCs w:val="24"/>
        </w:rPr>
        <w:t xml:space="preserve">As a result </w:t>
      </w:r>
      <w:r w:rsidR="005D18DF" w:rsidRPr="009C70F5">
        <w:rPr>
          <w:rFonts w:ascii="Times New Roman" w:eastAsia="Times New Roman" w:hAnsi="Times New Roman" w:cs="Times New Roman"/>
          <w:color w:val="000000" w:themeColor="text1"/>
          <w:sz w:val="24"/>
          <w:szCs w:val="24"/>
        </w:rPr>
        <w:t xml:space="preserve">of </w:t>
      </w:r>
      <w:r w:rsidR="00DA0F4E" w:rsidRPr="009C70F5">
        <w:rPr>
          <w:rFonts w:ascii="Times New Roman" w:eastAsia="Times New Roman" w:hAnsi="Times New Roman" w:cs="Times New Roman"/>
          <w:color w:val="000000" w:themeColor="text1"/>
          <w:sz w:val="24"/>
          <w:szCs w:val="24"/>
        </w:rPr>
        <w:t>upgraded</w:t>
      </w:r>
      <w:r w:rsidR="005D18DF" w:rsidRPr="009C70F5">
        <w:rPr>
          <w:rFonts w:ascii="Times New Roman" w:eastAsia="Times New Roman" w:hAnsi="Times New Roman" w:cs="Times New Roman"/>
          <w:color w:val="000000" w:themeColor="text1"/>
          <w:sz w:val="24"/>
          <w:szCs w:val="24"/>
        </w:rPr>
        <w:t xml:space="preserve"> gaming selections and marketing efforts</w:t>
      </w:r>
      <w:r w:rsidRPr="009C70F5">
        <w:rPr>
          <w:rFonts w:ascii="Times New Roman" w:eastAsia="Times New Roman" w:hAnsi="Times New Roman" w:cs="Times New Roman"/>
          <w:color w:val="000000" w:themeColor="text1"/>
          <w:sz w:val="24"/>
          <w:szCs w:val="24"/>
        </w:rPr>
        <w:t xml:space="preserve">, </w:t>
      </w:r>
      <w:r w:rsidR="000A582A" w:rsidRPr="009C70F5">
        <w:rPr>
          <w:rFonts w:ascii="Times New Roman" w:eastAsia="Times New Roman" w:hAnsi="Times New Roman" w:cs="Times New Roman"/>
          <w:color w:val="000000" w:themeColor="text1"/>
          <w:sz w:val="24"/>
          <w:szCs w:val="24"/>
        </w:rPr>
        <w:t>the casino</w:t>
      </w:r>
      <w:r w:rsidR="005D18DF" w:rsidRPr="009C70F5">
        <w:rPr>
          <w:rFonts w:ascii="Times New Roman" w:eastAsia="Times New Roman" w:hAnsi="Times New Roman" w:cs="Times New Roman"/>
          <w:color w:val="000000" w:themeColor="text1"/>
          <w:sz w:val="24"/>
          <w:szCs w:val="24"/>
        </w:rPr>
        <w:t>’</w:t>
      </w:r>
      <w:r w:rsidR="000A582A" w:rsidRPr="009C70F5">
        <w:rPr>
          <w:rFonts w:ascii="Times New Roman" w:eastAsia="Times New Roman" w:hAnsi="Times New Roman" w:cs="Times New Roman"/>
          <w:color w:val="000000" w:themeColor="text1"/>
          <w:sz w:val="24"/>
          <w:szCs w:val="24"/>
        </w:rPr>
        <w:t xml:space="preserve">s base revenues have been projected to </w:t>
      </w:r>
      <w:r w:rsidR="00665836" w:rsidRPr="009C70F5">
        <w:rPr>
          <w:rFonts w:ascii="Times New Roman" w:eastAsia="Times New Roman" w:hAnsi="Times New Roman" w:cs="Times New Roman"/>
          <w:color w:val="000000" w:themeColor="text1"/>
          <w:sz w:val="24"/>
          <w:szCs w:val="24"/>
        </w:rPr>
        <w:t>grow modestly</w:t>
      </w:r>
      <w:r w:rsidR="00DA0F4E" w:rsidRPr="009C70F5">
        <w:rPr>
          <w:rFonts w:ascii="Times New Roman" w:eastAsia="Times New Roman" w:hAnsi="Times New Roman" w:cs="Times New Roman"/>
          <w:color w:val="000000" w:themeColor="text1"/>
          <w:sz w:val="24"/>
          <w:szCs w:val="24"/>
        </w:rPr>
        <w:t xml:space="preserve"> over the next </w:t>
      </w:r>
      <w:r w:rsidR="00796349">
        <w:rPr>
          <w:rFonts w:ascii="Times New Roman" w:eastAsia="Times New Roman" w:hAnsi="Times New Roman" w:cs="Times New Roman"/>
          <w:color w:val="000000" w:themeColor="text1"/>
          <w:sz w:val="24"/>
          <w:szCs w:val="24"/>
        </w:rPr>
        <w:t xml:space="preserve">three </w:t>
      </w:r>
      <w:r w:rsidR="0088125F" w:rsidRPr="009C70F5">
        <w:rPr>
          <w:rFonts w:ascii="Times New Roman" w:eastAsia="Times New Roman" w:hAnsi="Times New Roman" w:cs="Times New Roman"/>
          <w:color w:val="000000" w:themeColor="text1"/>
          <w:sz w:val="24"/>
          <w:szCs w:val="24"/>
        </w:rPr>
        <w:t>years</w:t>
      </w:r>
      <w:r w:rsidR="000A582A" w:rsidRPr="009C70F5">
        <w:rPr>
          <w:rFonts w:ascii="Times New Roman" w:eastAsia="Times New Roman" w:hAnsi="Times New Roman" w:cs="Times New Roman"/>
          <w:color w:val="000000" w:themeColor="text1"/>
          <w:sz w:val="24"/>
          <w:szCs w:val="24"/>
        </w:rPr>
        <w:t xml:space="preserve">. </w:t>
      </w:r>
      <w:r w:rsidR="00445AC8" w:rsidRPr="009C70F5">
        <w:rPr>
          <w:rFonts w:ascii="Times New Roman" w:eastAsia="Times New Roman" w:hAnsi="Times New Roman" w:cs="Times New Roman"/>
          <w:color w:val="000000" w:themeColor="text1"/>
          <w:sz w:val="24"/>
          <w:szCs w:val="24"/>
        </w:rPr>
        <w:t xml:space="preserve">We are projecting that Indian Head Casino’s base revenues </w:t>
      </w:r>
      <w:r w:rsidR="00D27F08">
        <w:rPr>
          <w:rFonts w:ascii="Times New Roman" w:eastAsia="Times New Roman" w:hAnsi="Times New Roman" w:cs="Times New Roman"/>
          <w:color w:val="000000" w:themeColor="text1"/>
          <w:sz w:val="24"/>
          <w:szCs w:val="24"/>
        </w:rPr>
        <w:t xml:space="preserve">are on unknown to the COVID </w:t>
      </w:r>
      <w:r w:rsidR="00E63F5D">
        <w:rPr>
          <w:rFonts w:ascii="Times New Roman" w:eastAsia="Times New Roman" w:hAnsi="Times New Roman" w:cs="Times New Roman"/>
          <w:color w:val="000000" w:themeColor="text1"/>
          <w:sz w:val="24"/>
          <w:szCs w:val="24"/>
        </w:rPr>
        <w:t>issues,</w:t>
      </w:r>
      <w:r w:rsidR="00D27F08">
        <w:rPr>
          <w:rFonts w:ascii="Times New Roman" w:eastAsia="Times New Roman" w:hAnsi="Times New Roman" w:cs="Times New Roman"/>
          <w:color w:val="000000" w:themeColor="text1"/>
          <w:sz w:val="24"/>
          <w:szCs w:val="24"/>
        </w:rPr>
        <w:t xml:space="preserve"> but we will try to get within </w:t>
      </w:r>
      <w:r w:rsidR="00DB70CA">
        <w:rPr>
          <w:rFonts w:ascii="Times New Roman" w:eastAsia="Times New Roman" w:hAnsi="Times New Roman" w:cs="Times New Roman"/>
          <w:color w:val="000000" w:themeColor="text1"/>
          <w:sz w:val="24"/>
          <w:szCs w:val="24"/>
        </w:rPr>
        <w:t>80</w:t>
      </w:r>
      <w:r w:rsidR="00D27F08">
        <w:rPr>
          <w:rFonts w:ascii="Times New Roman" w:eastAsia="Times New Roman" w:hAnsi="Times New Roman" w:cs="Times New Roman"/>
          <w:color w:val="000000" w:themeColor="text1"/>
          <w:sz w:val="24"/>
          <w:szCs w:val="24"/>
        </w:rPr>
        <w:t xml:space="preserve">% of the 2019 actual revenues for 2021 and increase revenue </w:t>
      </w:r>
      <w:r w:rsidR="00DB70CA">
        <w:rPr>
          <w:rFonts w:ascii="Times New Roman" w:eastAsia="Times New Roman" w:hAnsi="Times New Roman" w:cs="Times New Roman"/>
          <w:color w:val="000000" w:themeColor="text1"/>
          <w:sz w:val="24"/>
          <w:szCs w:val="24"/>
        </w:rPr>
        <w:t>4</w:t>
      </w:r>
      <w:r w:rsidR="00D27F08">
        <w:rPr>
          <w:rFonts w:ascii="Times New Roman" w:eastAsia="Times New Roman" w:hAnsi="Times New Roman" w:cs="Times New Roman"/>
          <w:color w:val="000000" w:themeColor="text1"/>
          <w:sz w:val="24"/>
          <w:szCs w:val="24"/>
        </w:rPr>
        <w:t>-</w:t>
      </w:r>
      <w:r w:rsidR="00DB70CA">
        <w:rPr>
          <w:rFonts w:ascii="Times New Roman" w:eastAsia="Times New Roman" w:hAnsi="Times New Roman" w:cs="Times New Roman"/>
          <w:color w:val="000000" w:themeColor="text1"/>
          <w:sz w:val="24"/>
          <w:szCs w:val="24"/>
        </w:rPr>
        <w:t>7</w:t>
      </w:r>
      <w:r w:rsidR="00D27F08">
        <w:rPr>
          <w:rFonts w:ascii="Times New Roman" w:eastAsia="Times New Roman" w:hAnsi="Times New Roman" w:cs="Times New Roman"/>
          <w:color w:val="000000" w:themeColor="text1"/>
          <w:sz w:val="24"/>
          <w:szCs w:val="24"/>
        </w:rPr>
        <w:t xml:space="preserve">% in 2022 and </w:t>
      </w:r>
      <w:r w:rsidR="00DB70CA">
        <w:rPr>
          <w:rFonts w:ascii="Times New Roman" w:eastAsia="Times New Roman" w:hAnsi="Times New Roman" w:cs="Times New Roman"/>
          <w:color w:val="000000" w:themeColor="text1"/>
          <w:sz w:val="24"/>
          <w:szCs w:val="24"/>
        </w:rPr>
        <w:t>2</w:t>
      </w:r>
      <w:r w:rsidR="00986823">
        <w:rPr>
          <w:rFonts w:ascii="Times New Roman" w:eastAsia="Times New Roman" w:hAnsi="Times New Roman" w:cs="Times New Roman"/>
          <w:color w:val="000000" w:themeColor="text1"/>
          <w:sz w:val="24"/>
          <w:szCs w:val="24"/>
        </w:rPr>
        <w:t>-</w:t>
      </w:r>
      <w:r w:rsidR="00DB70CA">
        <w:rPr>
          <w:rFonts w:ascii="Times New Roman" w:eastAsia="Times New Roman" w:hAnsi="Times New Roman" w:cs="Times New Roman"/>
          <w:color w:val="000000" w:themeColor="text1"/>
          <w:sz w:val="24"/>
          <w:szCs w:val="24"/>
        </w:rPr>
        <w:t>4</w:t>
      </w:r>
      <w:r w:rsidR="00D27F08">
        <w:rPr>
          <w:rFonts w:ascii="Times New Roman" w:eastAsia="Times New Roman" w:hAnsi="Times New Roman" w:cs="Times New Roman"/>
          <w:color w:val="000000" w:themeColor="text1"/>
          <w:sz w:val="24"/>
          <w:szCs w:val="24"/>
        </w:rPr>
        <w:t xml:space="preserve">% in </w:t>
      </w:r>
      <w:r w:rsidR="00445AC8" w:rsidRPr="009C70F5">
        <w:rPr>
          <w:rFonts w:ascii="Times New Roman" w:eastAsia="Times New Roman" w:hAnsi="Times New Roman" w:cs="Times New Roman"/>
          <w:color w:val="000000" w:themeColor="text1"/>
          <w:sz w:val="24"/>
          <w:szCs w:val="24"/>
        </w:rPr>
        <w:t>20</w:t>
      </w:r>
      <w:r w:rsidR="00130CD1">
        <w:rPr>
          <w:rFonts w:ascii="Times New Roman" w:eastAsia="Times New Roman" w:hAnsi="Times New Roman" w:cs="Times New Roman"/>
          <w:color w:val="000000" w:themeColor="text1"/>
          <w:sz w:val="24"/>
          <w:szCs w:val="24"/>
        </w:rPr>
        <w:t>2</w:t>
      </w:r>
      <w:r w:rsidR="00D27F08">
        <w:rPr>
          <w:rFonts w:ascii="Times New Roman" w:eastAsia="Times New Roman" w:hAnsi="Times New Roman" w:cs="Times New Roman"/>
          <w:color w:val="000000" w:themeColor="text1"/>
          <w:sz w:val="24"/>
          <w:szCs w:val="24"/>
        </w:rPr>
        <w:t>3</w:t>
      </w:r>
      <w:r w:rsidR="00445AC8" w:rsidRPr="009C70F5">
        <w:rPr>
          <w:rFonts w:ascii="Times New Roman" w:eastAsia="Times New Roman" w:hAnsi="Times New Roman" w:cs="Times New Roman"/>
          <w:color w:val="000000" w:themeColor="text1"/>
          <w:sz w:val="24"/>
          <w:szCs w:val="24"/>
        </w:rPr>
        <w:t xml:space="preserve">. </w:t>
      </w:r>
      <w:r w:rsidR="000A582A" w:rsidRPr="009C70F5">
        <w:rPr>
          <w:rFonts w:ascii="Times New Roman" w:eastAsia="Times New Roman" w:hAnsi="Times New Roman" w:cs="Times New Roman"/>
          <w:color w:val="000000" w:themeColor="text1"/>
          <w:sz w:val="24"/>
          <w:szCs w:val="24"/>
        </w:rPr>
        <w:t xml:space="preserve">We will continue </w:t>
      </w:r>
      <w:r w:rsidR="005D18DF" w:rsidRPr="009C70F5">
        <w:rPr>
          <w:rFonts w:ascii="Times New Roman" w:eastAsia="Times New Roman" w:hAnsi="Times New Roman" w:cs="Times New Roman"/>
          <w:color w:val="000000" w:themeColor="text1"/>
          <w:sz w:val="24"/>
          <w:szCs w:val="24"/>
        </w:rPr>
        <w:t>to focus on our primary product</w:t>
      </w:r>
      <w:r w:rsidR="000A582A" w:rsidRPr="009C70F5">
        <w:rPr>
          <w:rFonts w:ascii="Times New Roman" w:eastAsia="Times New Roman" w:hAnsi="Times New Roman" w:cs="Times New Roman"/>
          <w:color w:val="000000" w:themeColor="text1"/>
          <w:sz w:val="24"/>
          <w:szCs w:val="24"/>
        </w:rPr>
        <w:t xml:space="preserve"> </w:t>
      </w:r>
      <w:r w:rsidR="005D18DF" w:rsidRPr="009C70F5">
        <w:rPr>
          <w:rFonts w:ascii="Times New Roman" w:eastAsia="Times New Roman" w:hAnsi="Times New Roman" w:cs="Times New Roman"/>
          <w:color w:val="000000" w:themeColor="text1"/>
          <w:sz w:val="24"/>
          <w:szCs w:val="24"/>
        </w:rPr>
        <w:t>(Slots)</w:t>
      </w:r>
      <w:r w:rsidR="000A582A" w:rsidRPr="009C70F5">
        <w:rPr>
          <w:rFonts w:ascii="Times New Roman" w:eastAsia="Times New Roman" w:hAnsi="Times New Roman" w:cs="Times New Roman"/>
          <w:color w:val="000000" w:themeColor="text1"/>
          <w:sz w:val="24"/>
          <w:szCs w:val="24"/>
        </w:rPr>
        <w:t xml:space="preserve"> and the supporting </w:t>
      </w:r>
      <w:r w:rsidR="005D18DF" w:rsidRPr="009C70F5">
        <w:rPr>
          <w:rFonts w:ascii="Times New Roman" w:eastAsia="Times New Roman" w:hAnsi="Times New Roman" w:cs="Times New Roman"/>
          <w:color w:val="000000" w:themeColor="text1"/>
          <w:sz w:val="24"/>
          <w:szCs w:val="24"/>
        </w:rPr>
        <w:t>venues</w:t>
      </w:r>
      <w:r w:rsidR="000A582A" w:rsidRPr="009C70F5">
        <w:rPr>
          <w:rFonts w:ascii="Times New Roman" w:eastAsia="Times New Roman" w:hAnsi="Times New Roman" w:cs="Times New Roman"/>
          <w:color w:val="000000" w:themeColor="text1"/>
          <w:sz w:val="24"/>
          <w:szCs w:val="24"/>
        </w:rPr>
        <w:t xml:space="preserve"> to include </w:t>
      </w:r>
      <w:r w:rsidR="005D18DF" w:rsidRPr="009C70F5">
        <w:rPr>
          <w:rFonts w:ascii="Times New Roman" w:eastAsia="Times New Roman" w:hAnsi="Times New Roman" w:cs="Times New Roman"/>
          <w:color w:val="000000" w:themeColor="text1"/>
          <w:sz w:val="24"/>
          <w:szCs w:val="24"/>
        </w:rPr>
        <w:t>enhanced</w:t>
      </w:r>
      <w:r w:rsidR="000A582A" w:rsidRPr="009C70F5">
        <w:rPr>
          <w:rFonts w:ascii="Times New Roman" w:eastAsia="Times New Roman" w:hAnsi="Times New Roman" w:cs="Times New Roman"/>
          <w:color w:val="000000" w:themeColor="text1"/>
          <w:sz w:val="24"/>
          <w:szCs w:val="24"/>
        </w:rPr>
        <w:t xml:space="preserve"> </w:t>
      </w:r>
      <w:r w:rsidR="005D18DF" w:rsidRPr="009C70F5">
        <w:rPr>
          <w:rFonts w:ascii="Times New Roman" w:eastAsia="Times New Roman" w:hAnsi="Times New Roman" w:cs="Times New Roman"/>
          <w:color w:val="000000" w:themeColor="text1"/>
          <w:sz w:val="24"/>
          <w:szCs w:val="24"/>
        </w:rPr>
        <w:t>guest service</w:t>
      </w:r>
      <w:r w:rsidR="000A582A" w:rsidRPr="009C70F5">
        <w:rPr>
          <w:rFonts w:ascii="Times New Roman" w:eastAsia="Times New Roman" w:hAnsi="Times New Roman" w:cs="Times New Roman"/>
          <w:color w:val="000000" w:themeColor="text1"/>
          <w:sz w:val="24"/>
          <w:szCs w:val="24"/>
        </w:rPr>
        <w:t xml:space="preserve">.  </w:t>
      </w:r>
      <w:r w:rsidR="00125348">
        <w:rPr>
          <w:rFonts w:ascii="Times New Roman" w:eastAsia="Times New Roman" w:hAnsi="Times New Roman" w:cs="Times New Roman"/>
          <w:color w:val="000000" w:themeColor="text1"/>
          <w:sz w:val="24"/>
          <w:szCs w:val="24"/>
        </w:rPr>
        <w:t xml:space="preserve">EBITDA </w:t>
      </w:r>
      <w:r w:rsidR="000A582A" w:rsidRPr="009C70F5">
        <w:rPr>
          <w:rFonts w:ascii="Times New Roman" w:eastAsia="Times New Roman" w:hAnsi="Times New Roman" w:cs="Times New Roman"/>
          <w:color w:val="000000" w:themeColor="text1"/>
          <w:sz w:val="24"/>
          <w:szCs w:val="24"/>
        </w:rPr>
        <w:t>will increase</w:t>
      </w:r>
      <w:r w:rsidR="008F6B0C" w:rsidRPr="009C70F5">
        <w:rPr>
          <w:rFonts w:ascii="Times New Roman" w:eastAsia="Times New Roman" w:hAnsi="Times New Roman" w:cs="Times New Roman"/>
          <w:color w:val="000000" w:themeColor="text1"/>
          <w:sz w:val="24"/>
          <w:szCs w:val="24"/>
        </w:rPr>
        <w:t xml:space="preserve"> </w:t>
      </w:r>
      <w:r w:rsidR="00E47AED">
        <w:rPr>
          <w:rFonts w:ascii="Times New Roman" w:eastAsia="Times New Roman" w:hAnsi="Times New Roman" w:cs="Times New Roman"/>
          <w:color w:val="000000" w:themeColor="text1"/>
          <w:sz w:val="24"/>
          <w:szCs w:val="24"/>
        </w:rPr>
        <w:t xml:space="preserve">due to </w:t>
      </w:r>
      <w:r w:rsidR="00DA0F4E" w:rsidRPr="009C70F5">
        <w:rPr>
          <w:rFonts w:ascii="Times New Roman" w:eastAsia="Times New Roman" w:hAnsi="Times New Roman" w:cs="Times New Roman"/>
          <w:color w:val="000000" w:themeColor="text1"/>
          <w:sz w:val="24"/>
          <w:szCs w:val="24"/>
        </w:rPr>
        <w:t xml:space="preserve">better market exposure and improved </w:t>
      </w:r>
      <w:r w:rsidR="000A582A" w:rsidRPr="009C70F5">
        <w:rPr>
          <w:rFonts w:ascii="Times New Roman" w:eastAsia="Times New Roman" w:hAnsi="Times New Roman" w:cs="Times New Roman"/>
          <w:color w:val="000000" w:themeColor="text1"/>
          <w:sz w:val="24"/>
          <w:szCs w:val="24"/>
        </w:rPr>
        <w:t>oper</w:t>
      </w:r>
      <w:r w:rsidR="00000242">
        <w:rPr>
          <w:rFonts w:ascii="Times New Roman" w:eastAsia="Times New Roman" w:hAnsi="Times New Roman" w:cs="Times New Roman"/>
          <w:color w:val="000000" w:themeColor="text1"/>
          <w:sz w:val="24"/>
          <w:szCs w:val="24"/>
        </w:rPr>
        <w:t>ational efficiencies.  Also, we need to strategize on how to deal with the increase minimum wage in Oregon.</w:t>
      </w:r>
    </w:p>
    <w:p w14:paraId="42C2C4B3" w14:textId="77777777" w:rsidR="004012AB" w:rsidRDefault="004012AB" w:rsidP="004012AB">
      <w:pPr>
        <w:pStyle w:val="BodyTextIndent2"/>
        <w:ind w:left="0"/>
        <w:rPr>
          <w:color w:val="000000" w:themeColor="text1"/>
          <w:szCs w:val="24"/>
        </w:rPr>
      </w:pPr>
      <w:r w:rsidRPr="009C70F5">
        <w:rPr>
          <w:color w:val="000000" w:themeColor="text1"/>
          <w:szCs w:val="24"/>
        </w:rPr>
        <w:t>Key focuses to achieve these EBITDA levels are:</w:t>
      </w:r>
    </w:p>
    <w:p w14:paraId="4500D268" w14:textId="77777777" w:rsidR="004012AB" w:rsidRPr="009C70F5" w:rsidRDefault="004012AB" w:rsidP="004012AB">
      <w:pPr>
        <w:pStyle w:val="BodyTextIndent2"/>
        <w:ind w:left="0"/>
        <w:rPr>
          <w:color w:val="000000" w:themeColor="text1"/>
          <w:szCs w:val="24"/>
        </w:rPr>
      </w:pPr>
    </w:p>
    <w:p w14:paraId="4B94AF48" w14:textId="77777777" w:rsidR="004012AB" w:rsidRPr="009C70F5" w:rsidRDefault="004012AB" w:rsidP="004012AB">
      <w:pPr>
        <w:numPr>
          <w:ilvl w:val="0"/>
          <w:numId w:val="1"/>
        </w:numPr>
        <w:tabs>
          <w:tab w:val="clear" w:pos="720"/>
          <w:tab w:val="num" w:pos="1080"/>
          <w:tab w:val="num" w:pos="1440"/>
        </w:tabs>
        <w:spacing w:after="0" w:line="240" w:lineRule="auto"/>
        <w:ind w:left="1080"/>
        <w:jc w:val="both"/>
        <w:rPr>
          <w:rFonts w:ascii="Times New Roman" w:eastAsia="Times New Roman" w:hAnsi="Times New Roman" w:cs="Times New Roman"/>
          <w:color w:val="000000" w:themeColor="text1"/>
          <w:sz w:val="24"/>
          <w:szCs w:val="24"/>
        </w:rPr>
      </w:pPr>
      <w:r w:rsidRPr="009C70F5">
        <w:rPr>
          <w:rFonts w:ascii="Times New Roman" w:eastAsia="Times New Roman" w:hAnsi="Times New Roman" w:cs="Times New Roman"/>
          <w:color w:val="000000" w:themeColor="text1"/>
          <w:sz w:val="24"/>
          <w:szCs w:val="24"/>
        </w:rPr>
        <w:t>Monitoring, utilization, and growing of loyal patron database to create profitable traffic.</w:t>
      </w:r>
    </w:p>
    <w:p w14:paraId="22152C48" w14:textId="77777777" w:rsidR="004012AB" w:rsidRPr="009C70F5" w:rsidRDefault="004012AB" w:rsidP="004012AB">
      <w:pPr>
        <w:numPr>
          <w:ilvl w:val="0"/>
          <w:numId w:val="1"/>
        </w:numPr>
        <w:tabs>
          <w:tab w:val="clear" w:pos="720"/>
          <w:tab w:val="num" w:pos="1080"/>
          <w:tab w:val="num" w:pos="1440"/>
        </w:tabs>
        <w:spacing w:after="0" w:line="240" w:lineRule="auto"/>
        <w:ind w:left="1080"/>
        <w:jc w:val="both"/>
        <w:rPr>
          <w:rFonts w:ascii="Times New Roman" w:eastAsia="Times New Roman" w:hAnsi="Times New Roman" w:cs="Times New Roman"/>
          <w:color w:val="000000" w:themeColor="text1"/>
          <w:sz w:val="24"/>
          <w:szCs w:val="24"/>
        </w:rPr>
      </w:pPr>
      <w:r w:rsidRPr="009C70F5">
        <w:rPr>
          <w:rFonts w:ascii="Times New Roman" w:eastAsia="Times New Roman" w:hAnsi="Times New Roman" w:cs="Times New Roman"/>
          <w:color w:val="000000" w:themeColor="text1"/>
          <w:sz w:val="24"/>
          <w:szCs w:val="24"/>
        </w:rPr>
        <w:t>Utilizing better customer loyalty programs; grow the number of visits and wallet share from the existing players as well as increase number of new customers.</w:t>
      </w:r>
    </w:p>
    <w:p w14:paraId="215098CE" w14:textId="775AEF5A" w:rsidR="004012AB" w:rsidRPr="009C70F5" w:rsidRDefault="004012AB" w:rsidP="004012AB">
      <w:pPr>
        <w:numPr>
          <w:ilvl w:val="0"/>
          <w:numId w:val="1"/>
        </w:numPr>
        <w:tabs>
          <w:tab w:val="clear" w:pos="720"/>
          <w:tab w:val="num" w:pos="1080"/>
          <w:tab w:val="num" w:pos="1440"/>
        </w:tabs>
        <w:spacing w:after="0" w:line="240" w:lineRule="auto"/>
        <w:ind w:left="1080"/>
        <w:jc w:val="both"/>
        <w:rPr>
          <w:rFonts w:ascii="Times New Roman" w:eastAsia="Times New Roman" w:hAnsi="Times New Roman" w:cs="Times New Roman"/>
          <w:color w:val="000000" w:themeColor="text1"/>
          <w:sz w:val="24"/>
          <w:szCs w:val="24"/>
        </w:rPr>
      </w:pPr>
      <w:r w:rsidRPr="009C70F5">
        <w:rPr>
          <w:rFonts w:ascii="Times New Roman" w:eastAsia="Times New Roman" w:hAnsi="Times New Roman" w:cs="Times New Roman"/>
          <w:color w:val="000000" w:themeColor="text1"/>
          <w:sz w:val="24"/>
          <w:szCs w:val="24"/>
        </w:rPr>
        <w:t xml:space="preserve">Continued focus </w:t>
      </w:r>
      <w:r w:rsidR="00E63F5D" w:rsidRPr="009C70F5">
        <w:rPr>
          <w:rFonts w:ascii="Times New Roman" w:eastAsia="Times New Roman" w:hAnsi="Times New Roman" w:cs="Times New Roman"/>
          <w:color w:val="000000" w:themeColor="text1"/>
          <w:sz w:val="24"/>
          <w:szCs w:val="24"/>
        </w:rPr>
        <w:t>on</w:t>
      </w:r>
      <w:r w:rsidRPr="009C70F5">
        <w:rPr>
          <w:rFonts w:ascii="Times New Roman" w:eastAsia="Times New Roman" w:hAnsi="Times New Roman" w:cs="Times New Roman"/>
          <w:color w:val="000000" w:themeColor="text1"/>
          <w:sz w:val="24"/>
          <w:szCs w:val="24"/>
        </w:rPr>
        <w:t xml:space="preserve"> cost control management / achieve a minimum </w:t>
      </w:r>
      <w:r w:rsidR="00A6318B">
        <w:rPr>
          <w:rFonts w:ascii="Times New Roman" w:eastAsia="Times New Roman" w:hAnsi="Times New Roman" w:cs="Times New Roman"/>
          <w:color w:val="000000" w:themeColor="text1"/>
          <w:sz w:val="24"/>
          <w:szCs w:val="24"/>
        </w:rPr>
        <w:t>1</w:t>
      </w:r>
      <w:r w:rsidRPr="009C70F5">
        <w:rPr>
          <w:rFonts w:ascii="Times New Roman" w:eastAsia="Times New Roman" w:hAnsi="Times New Roman" w:cs="Times New Roman"/>
          <w:color w:val="000000" w:themeColor="text1"/>
          <w:sz w:val="24"/>
          <w:szCs w:val="24"/>
        </w:rPr>
        <w:t xml:space="preserve">% </w:t>
      </w:r>
      <w:r w:rsidR="00A6318B">
        <w:rPr>
          <w:rFonts w:ascii="Times New Roman" w:eastAsia="Times New Roman" w:hAnsi="Times New Roman" w:cs="Times New Roman"/>
          <w:color w:val="000000" w:themeColor="text1"/>
          <w:sz w:val="24"/>
          <w:szCs w:val="24"/>
        </w:rPr>
        <w:t xml:space="preserve">increase in </w:t>
      </w:r>
      <w:r w:rsidRPr="009C70F5">
        <w:rPr>
          <w:rFonts w:ascii="Times New Roman" w:eastAsia="Times New Roman" w:hAnsi="Times New Roman" w:cs="Times New Roman"/>
          <w:color w:val="000000" w:themeColor="text1"/>
          <w:sz w:val="24"/>
          <w:szCs w:val="24"/>
        </w:rPr>
        <w:t xml:space="preserve">year-end EBITDA margin.  </w:t>
      </w:r>
    </w:p>
    <w:p w14:paraId="2C02D7BA" w14:textId="77777777" w:rsidR="004012AB" w:rsidRPr="009C70F5" w:rsidRDefault="004012AB" w:rsidP="004012AB">
      <w:pPr>
        <w:numPr>
          <w:ilvl w:val="0"/>
          <w:numId w:val="1"/>
        </w:numPr>
        <w:tabs>
          <w:tab w:val="clear" w:pos="720"/>
          <w:tab w:val="num" w:pos="1080"/>
          <w:tab w:val="num" w:pos="1440"/>
        </w:tabs>
        <w:spacing w:after="0" w:line="240" w:lineRule="auto"/>
        <w:ind w:left="1080"/>
        <w:jc w:val="both"/>
        <w:rPr>
          <w:rFonts w:ascii="Times New Roman" w:eastAsia="Times New Roman" w:hAnsi="Times New Roman" w:cs="Times New Roman"/>
          <w:color w:val="000000" w:themeColor="text1"/>
          <w:sz w:val="24"/>
          <w:szCs w:val="24"/>
        </w:rPr>
      </w:pPr>
      <w:r w:rsidRPr="009C70F5">
        <w:rPr>
          <w:rFonts w:ascii="Times New Roman" w:eastAsia="Times New Roman" w:hAnsi="Times New Roman" w:cs="Times New Roman"/>
          <w:color w:val="000000" w:themeColor="text1"/>
          <w:sz w:val="24"/>
          <w:szCs w:val="24"/>
        </w:rPr>
        <w:t>Achieve a minimum 10-15% return on project capital investments.</w:t>
      </w:r>
    </w:p>
    <w:p w14:paraId="041AB997" w14:textId="77777777" w:rsidR="004012AB" w:rsidRPr="009C70F5" w:rsidRDefault="004012AB" w:rsidP="004012AB">
      <w:pPr>
        <w:numPr>
          <w:ilvl w:val="0"/>
          <w:numId w:val="1"/>
        </w:numPr>
        <w:tabs>
          <w:tab w:val="clear" w:pos="720"/>
          <w:tab w:val="num" w:pos="1080"/>
          <w:tab w:val="num" w:pos="1440"/>
        </w:tabs>
        <w:spacing w:after="0" w:line="240" w:lineRule="auto"/>
        <w:ind w:left="1080"/>
        <w:jc w:val="both"/>
        <w:rPr>
          <w:rFonts w:ascii="Times New Roman" w:eastAsia="Times New Roman" w:hAnsi="Times New Roman" w:cs="Times New Roman"/>
          <w:color w:val="000000" w:themeColor="text1"/>
          <w:sz w:val="24"/>
          <w:szCs w:val="24"/>
        </w:rPr>
      </w:pPr>
      <w:r w:rsidRPr="009C70F5">
        <w:rPr>
          <w:rFonts w:ascii="Times New Roman" w:eastAsia="Times New Roman" w:hAnsi="Times New Roman" w:cs="Times New Roman"/>
          <w:color w:val="000000" w:themeColor="text1"/>
          <w:sz w:val="24"/>
          <w:szCs w:val="24"/>
        </w:rPr>
        <w:t>Achieve a daily Win Per Unit (WPU) in slots of $1</w:t>
      </w:r>
      <w:r>
        <w:rPr>
          <w:rFonts w:ascii="Times New Roman" w:eastAsia="Times New Roman" w:hAnsi="Times New Roman" w:cs="Times New Roman"/>
          <w:color w:val="000000" w:themeColor="text1"/>
          <w:sz w:val="24"/>
          <w:szCs w:val="24"/>
        </w:rPr>
        <w:t>10</w:t>
      </w:r>
      <w:r w:rsidRPr="009C70F5">
        <w:rPr>
          <w:rFonts w:ascii="Times New Roman" w:eastAsia="Times New Roman" w:hAnsi="Times New Roman" w:cs="Times New Roman"/>
          <w:color w:val="000000" w:themeColor="text1"/>
          <w:sz w:val="24"/>
          <w:szCs w:val="24"/>
        </w:rPr>
        <w:t xml:space="preserve"> and maintain a WPU of $</w:t>
      </w:r>
      <w:r>
        <w:rPr>
          <w:rFonts w:ascii="Times New Roman" w:eastAsia="Times New Roman" w:hAnsi="Times New Roman" w:cs="Times New Roman"/>
          <w:color w:val="000000" w:themeColor="text1"/>
          <w:sz w:val="24"/>
          <w:szCs w:val="24"/>
        </w:rPr>
        <w:t>2</w:t>
      </w:r>
      <w:r w:rsidR="00A6318B">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0</w:t>
      </w:r>
      <w:r w:rsidRPr="009C70F5">
        <w:rPr>
          <w:rFonts w:ascii="Times New Roman" w:eastAsia="Times New Roman" w:hAnsi="Times New Roman" w:cs="Times New Roman"/>
          <w:color w:val="000000" w:themeColor="text1"/>
          <w:sz w:val="24"/>
          <w:szCs w:val="24"/>
        </w:rPr>
        <w:t xml:space="preserve"> in tables; and an overall win per </w:t>
      </w:r>
      <w:r>
        <w:rPr>
          <w:rFonts w:ascii="Times New Roman" w:eastAsia="Times New Roman" w:hAnsi="Times New Roman" w:cs="Times New Roman"/>
          <w:color w:val="000000" w:themeColor="text1"/>
          <w:sz w:val="24"/>
          <w:szCs w:val="24"/>
        </w:rPr>
        <w:t xml:space="preserve">on carded </w:t>
      </w:r>
      <w:r w:rsidRPr="009C70F5">
        <w:rPr>
          <w:rFonts w:ascii="Times New Roman" w:eastAsia="Times New Roman" w:hAnsi="Times New Roman" w:cs="Times New Roman"/>
          <w:color w:val="000000" w:themeColor="text1"/>
          <w:sz w:val="24"/>
          <w:szCs w:val="24"/>
        </w:rPr>
        <w:t>guest of approximately $</w:t>
      </w:r>
      <w:r>
        <w:rPr>
          <w:rFonts w:ascii="Times New Roman" w:eastAsia="Times New Roman" w:hAnsi="Times New Roman" w:cs="Times New Roman"/>
          <w:color w:val="000000" w:themeColor="text1"/>
          <w:sz w:val="24"/>
          <w:szCs w:val="24"/>
        </w:rPr>
        <w:t>75.</w:t>
      </w:r>
    </w:p>
    <w:p w14:paraId="104E801E" w14:textId="77777777" w:rsidR="004012AB" w:rsidRDefault="004012AB" w:rsidP="004012AB">
      <w:pPr>
        <w:spacing w:after="0"/>
        <w:ind w:firstLine="90"/>
        <w:jc w:val="both"/>
        <w:rPr>
          <w:rFonts w:ascii="Times New Roman" w:hAnsi="Times New Roman" w:cs="Times New Roman"/>
          <w:b/>
          <w:color w:val="000000" w:themeColor="text1"/>
          <w:sz w:val="24"/>
          <w:szCs w:val="24"/>
        </w:rPr>
      </w:pPr>
    </w:p>
    <w:p w14:paraId="468F5F34" w14:textId="77777777" w:rsidR="005D18DF" w:rsidRPr="009C70F5" w:rsidRDefault="00000242" w:rsidP="00987896">
      <w:pPr>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color w:val="000000" w:themeColor="text1"/>
          <w:sz w:val="24"/>
          <w:szCs w:val="24"/>
        </w:rPr>
        <w:t>Plateau Travel Plaza</w:t>
      </w:r>
    </w:p>
    <w:p w14:paraId="05442E8D" w14:textId="77777777" w:rsidR="00DA0F4E" w:rsidRDefault="00000242" w:rsidP="0098789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Plateau </w:t>
      </w:r>
      <w:r w:rsidR="00DA0F4E" w:rsidRPr="009C70F5">
        <w:rPr>
          <w:rFonts w:ascii="Times New Roman" w:eastAsia="Times New Roman" w:hAnsi="Times New Roman" w:cs="Times New Roman"/>
          <w:color w:val="000000" w:themeColor="text1"/>
          <w:sz w:val="24"/>
          <w:szCs w:val="24"/>
        </w:rPr>
        <w:t>Travel Plaza</w:t>
      </w:r>
      <w:r w:rsidR="002E7F27" w:rsidRPr="009C70F5">
        <w:rPr>
          <w:rFonts w:ascii="Times New Roman" w:eastAsia="Times New Roman" w:hAnsi="Times New Roman" w:cs="Times New Roman"/>
          <w:color w:val="000000" w:themeColor="text1"/>
          <w:sz w:val="24"/>
          <w:szCs w:val="24"/>
        </w:rPr>
        <w:t xml:space="preserve"> to include a </w:t>
      </w:r>
      <w:r w:rsidR="00796349">
        <w:rPr>
          <w:rFonts w:ascii="Times New Roman" w:eastAsia="Times New Roman" w:hAnsi="Times New Roman" w:cs="Times New Roman"/>
          <w:color w:val="000000" w:themeColor="text1"/>
          <w:sz w:val="24"/>
          <w:szCs w:val="24"/>
        </w:rPr>
        <w:t>3,</w:t>
      </w:r>
      <w:r w:rsidR="00904ABE">
        <w:rPr>
          <w:rFonts w:ascii="Times New Roman" w:eastAsia="Times New Roman" w:hAnsi="Times New Roman" w:cs="Times New Roman"/>
          <w:color w:val="000000" w:themeColor="text1"/>
          <w:sz w:val="24"/>
          <w:szCs w:val="24"/>
        </w:rPr>
        <w:t>5</w:t>
      </w:r>
      <w:r w:rsidR="00796349">
        <w:rPr>
          <w:rFonts w:ascii="Times New Roman" w:eastAsia="Times New Roman" w:hAnsi="Times New Roman" w:cs="Times New Roman"/>
          <w:color w:val="000000" w:themeColor="text1"/>
          <w:sz w:val="24"/>
          <w:szCs w:val="24"/>
        </w:rPr>
        <w:t>00</w:t>
      </w:r>
      <w:r w:rsidR="00796349" w:rsidRPr="009C70F5">
        <w:rPr>
          <w:rFonts w:ascii="Times New Roman" w:eastAsia="Times New Roman" w:hAnsi="Times New Roman" w:cs="Times New Roman"/>
          <w:color w:val="000000" w:themeColor="text1"/>
          <w:sz w:val="24"/>
          <w:szCs w:val="24"/>
        </w:rPr>
        <w:t>-square</w:t>
      </w:r>
      <w:r w:rsidR="002E7F27" w:rsidRPr="009C70F5">
        <w:rPr>
          <w:rFonts w:ascii="Times New Roman" w:eastAsia="Times New Roman" w:hAnsi="Times New Roman" w:cs="Times New Roman"/>
          <w:color w:val="000000" w:themeColor="text1"/>
          <w:sz w:val="24"/>
          <w:szCs w:val="24"/>
        </w:rPr>
        <w:t xml:space="preserve"> foot convenience store, </w:t>
      </w:r>
      <w:r w:rsidR="00E2374A">
        <w:rPr>
          <w:rFonts w:ascii="Times New Roman" w:eastAsia="Times New Roman" w:hAnsi="Times New Roman" w:cs="Times New Roman"/>
          <w:color w:val="000000" w:themeColor="text1"/>
          <w:sz w:val="24"/>
          <w:szCs w:val="24"/>
        </w:rPr>
        <w:t xml:space="preserve">50 seat </w:t>
      </w:r>
      <w:r w:rsidR="002E7F27" w:rsidRPr="009C70F5">
        <w:rPr>
          <w:rFonts w:ascii="Times New Roman" w:eastAsia="Times New Roman" w:hAnsi="Times New Roman" w:cs="Times New Roman"/>
          <w:color w:val="000000" w:themeColor="text1"/>
          <w:sz w:val="24"/>
          <w:szCs w:val="24"/>
        </w:rPr>
        <w:t xml:space="preserve">food outlet, </w:t>
      </w:r>
      <w:r w:rsidR="007E0293">
        <w:rPr>
          <w:rFonts w:ascii="Times New Roman" w:eastAsia="Times New Roman" w:hAnsi="Times New Roman" w:cs="Times New Roman"/>
          <w:color w:val="000000" w:themeColor="text1"/>
          <w:sz w:val="24"/>
          <w:szCs w:val="24"/>
        </w:rPr>
        <w:t xml:space="preserve">diesel pumps, </w:t>
      </w:r>
      <w:r>
        <w:rPr>
          <w:rFonts w:ascii="Times New Roman" w:eastAsia="Times New Roman" w:hAnsi="Times New Roman" w:cs="Times New Roman"/>
          <w:color w:val="000000" w:themeColor="text1"/>
          <w:sz w:val="24"/>
          <w:szCs w:val="24"/>
        </w:rPr>
        <w:t xml:space="preserve">retail </w:t>
      </w:r>
      <w:r w:rsidR="007E0293">
        <w:rPr>
          <w:rFonts w:ascii="Times New Roman" w:eastAsia="Times New Roman" w:hAnsi="Times New Roman" w:cs="Times New Roman"/>
          <w:color w:val="000000" w:themeColor="text1"/>
          <w:sz w:val="24"/>
          <w:szCs w:val="24"/>
        </w:rPr>
        <w:t>gas pumps, showers, laundry,</w:t>
      </w:r>
      <w:r w:rsidR="00DA0F4E" w:rsidRPr="009C70F5">
        <w:rPr>
          <w:rFonts w:ascii="Times New Roman" w:eastAsia="Times New Roman" w:hAnsi="Times New Roman" w:cs="Times New Roman"/>
          <w:color w:val="000000" w:themeColor="text1"/>
          <w:sz w:val="24"/>
          <w:szCs w:val="24"/>
        </w:rPr>
        <w:t xml:space="preserve"> and gaming </w:t>
      </w:r>
      <w:r w:rsidR="002E7F27" w:rsidRPr="009C70F5">
        <w:rPr>
          <w:rFonts w:ascii="Times New Roman" w:eastAsia="Times New Roman" w:hAnsi="Times New Roman" w:cs="Times New Roman"/>
          <w:color w:val="000000" w:themeColor="text1"/>
          <w:sz w:val="24"/>
          <w:szCs w:val="24"/>
        </w:rPr>
        <w:t xml:space="preserve">center. </w:t>
      </w:r>
      <w:r w:rsidR="009A5866">
        <w:rPr>
          <w:rFonts w:ascii="Times New Roman" w:eastAsia="Times New Roman" w:hAnsi="Times New Roman" w:cs="Times New Roman"/>
          <w:color w:val="000000" w:themeColor="text1"/>
          <w:sz w:val="24"/>
          <w:szCs w:val="24"/>
        </w:rPr>
        <w:t>We will focus on growing the business through local customers, regional customers, and national trucking companies</w:t>
      </w:r>
    </w:p>
    <w:p w14:paraId="23BA96D7" w14:textId="77777777" w:rsidR="00850010" w:rsidRPr="008B05AF" w:rsidRDefault="008B05AF" w:rsidP="00E10278">
      <w:pPr>
        <w:ind w:firstLine="90"/>
        <w:jc w:val="both"/>
        <w:rPr>
          <w:rFonts w:ascii="Times New Roman" w:hAnsi="Times New Roman" w:cs="Times New Roman"/>
          <w:b/>
          <w:color w:val="000000" w:themeColor="text1"/>
          <w:sz w:val="24"/>
          <w:szCs w:val="24"/>
        </w:rPr>
      </w:pPr>
      <w:r w:rsidRPr="008B05AF">
        <w:rPr>
          <w:rFonts w:ascii="Times New Roman" w:hAnsi="Times New Roman" w:cs="Times New Roman"/>
          <w:color w:val="000000" w:themeColor="text1"/>
          <w:sz w:val="24"/>
          <w:szCs w:val="24"/>
        </w:rPr>
        <w:t>Key focuses to achieve these EBITDA levels are:</w:t>
      </w:r>
    </w:p>
    <w:p w14:paraId="483971C0" w14:textId="77777777" w:rsidR="008B05AF" w:rsidRPr="009C70F5" w:rsidRDefault="008B05AF" w:rsidP="008B05AF">
      <w:pPr>
        <w:numPr>
          <w:ilvl w:val="0"/>
          <w:numId w:val="1"/>
        </w:numPr>
        <w:tabs>
          <w:tab w:val="clear" w:pos="720"/>
          <w:tab w:val="num" w:pos="1080"/>
          <w:tab w:val="num" w:pos="1440"/>
        </w:tabs>
        <w:spacing w:after="0" w:line="240" w:lineRule="auto"/>
        <w:ind w:left="1080"/>
        <w:jc w:val="both"/>
        <w:rPr>
          <w:rFonts w:ascii="Times New Roman" w:eastAsia="Times New Roman" w:hAnsi="Times New Roman" w:cs="Times New Roman"/>
          <w:color w:val="000000" w:themeColor="text1"/>
          <w:sz w:val="24"/>
          <w:szCs w:val="24"/>
        </w:rPr>
      </w:pPr>
      <w:r w:rsidRPr="009C70F5">
        <w:rPr>
          <w:rFonts w:ascii="Times New Roman" w:eastAsia="Times New Roman" w:hAnsi="Times New Roman" w:cs="Times New Roman"/>
          <w:color w:val="000000" w:themeColor="text1"/>
          <w:sz w:val="24"/>
          <w:szCs w:val="24"/>
        </w:rPr>
        <w:t xml:space="preserve">Monitoring, utilization, and growing of </w:t>
      </w:r>
      <w:r w:rsidR="00233027">
        <w:rPr>
          <w:rFonts w:ascii="Times New Roman" w:eastAsia="Times New Roman" w:hAnsi="Times New Roman" w:cs="Times New Roman"/>
          <w:color w:val="000000" w:themeColor="text1"/>
          <w:sz w:val="24"/>
          <w:szCs w:val="24"/>
        </w:rPr>
        <w:t>customer base and drive highway traffic into the Plaza</w:t>
      </w:r>
      <w:r w:rsidRPr="009C70F5">
        <w:rPr>
          <w:rFonts w:ascii="Times New Roman" w:eastAsia="Times New Roman" w:hAnsi="Times New Roman" w:cs="Times New Roman"/>
          <w:color w:val="000000" w:themeColor="text1"/>
          <w:sz w:val="24"/>
          <w:szCs w:val="24"/>
        </w:rPr>
        <w:t>.</w:t>
      </w:r>
    </w:p>
    <w:p w14:paraId="5ECD9CB4" w14:textId="77777777" w:rsidR="008B05AF" w:rsidRPr="009C70F5" w:rsidRDefault="00233027" w:rsidP="008B05AF">
      <w:pPr>
        <w:numPr>
          <w:ilvl w:val="0"/>
          <w:numId w:val="1"/>
        </w:numPr>
        <w:tabs>
          <w:tab w:val="clear" w:pos="720"/>
          <w:tab w:val="num" w:pos="1080"/>
          <w:tab w:val="num" w:pos="1440"/>
        </w:tabs>
        <w:spacing w:after="0" w:line="240" w:lineRule="auto"/>
        <w:ind w:left="10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Monitor the payroll vs revenue</w:t>
      </w:r>
      <w:r w:rsidR="002F6505">
        <w:rPr>
          <w:rFonts w:ascii="Times New Roman" w:eastAsia="Times New Roman" w:hAnsi="Times New Roman" w:cs="Times New Roman"/>
          <w:color w:val="000000" w:themeColor="text1"/>
          <w:sz w:val="24"/>
          <w:szCs w:val="24"/>
        </w:rPr>
        <w:t>.</w:t>
      </w:r>
    </w:p>
    <w:p w14:paraId="110189F3" w14:textId="59B298FC" w:rsidR="008B05AF" w:rsidRPr="009C70F5" w:rsidRDefault="002F6505" w:rsidP="008B05AF">
      <w:pPr>
        <w:numPr>
          <w:ilvl w:val="0"/>
          <w:numId w:val="1"/>
        </w:numPr>
        <w:tabs>
          <w:tab w:val="clear" w:pos="720"/>
          <w:tab w:val="num" w:pos="1080"/>
          <w:tab w:val="num" w:pos="1440"/>
        </w:tabs>
        <w:spacing w:after="0" w:line="240" w:lineRule="auto"/>
        <w:ind w:left="10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Increase all revenues by </w:t>
      </w:r>
      <w:r w:rsidR="00986823">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over prior year</w:t>
      </w:r>
    </w:p>
    <w:p w14:paraId="0315D99E" w14:textId="77777777" w:rsidR="00233027" w:rsidRPr="009C70F5" w:rsidRDefault="00233027" w:rsidP="00991311">
      <w:pPr>
        <w:tabs>
          <w:tab w:val="num" w:pos="1440"/>
        </w:tabs>
        <w:spacing w:after="0" w:line="240" w:lineRule="auto"/>
        <w:ind w:left="1080"/>
        <w:jc w:val="both"/>
        <w:rPr>
          <w:rFonts w:ascii="Times New Roman" w:eastAsia="Times New Roman" w:hAnsi="Times New Roman" w:cs="Times New Roman"/>
          <w:color w:val="000000" w:themeColor="text1"/>
          <w:sz w:val="24"/>
          <w:szCs w:val="24"/>
        </w:rPr>
      </w:pPr>
    </w:p>
    <w:p w14:paraId="784A278F" w14:textId="77777777" w:rsidR="000A582A" w:rsidRPr="009C70F5" w:rsidRDefault="000A582A" w:rsidP="00E10278">
      <w:pPr>
        <w:ind w:firstLine="90"/>
        <w:jc w:val="both"/>
        <w:rPr>
          <w:rFonts w:ascii="Times New Roman" w:hAnsi="Times New Roman" w:cs="Times New Roman"/>
          <w:color w:val="000000" w:themeColor="text1"/>
          <w:sz w:val="24"/>
          <w:szCs w:val="24"/>
        </w:rPr>
      </w:pPr>
      <w:r w:rsidRPr="009C70F5">
        <w:rPr>
          <w:rFonts w:ascii="Times New Roman" w:hAnsi="Times New Roman" w:cs="Times New Roman"/>
          <w:b/>
          <w:color w:val="000000" w:themeColor="text1"/>
          <w:sz w:val="24"/>
          <w:szCs w:val="24"/>
        </w:rPr>
        <w:t>Economic tactics:</w:t>
      </w:r>
    </w:p>
    <w:p w14:paraId="4FDC9CC0" w14:textId="77777777" w:rsidR="000A582A" w:rsidRPr="009C70F5" w:rsidRDefault="00130CD1" w:rsidP="000A582A">
      <w:pPr>
        <w:pStyle w:val="BodyTextIndent2"/>
        <w:numPr>
          <w:ilvl w:val="0"/>
          <w:numId w:val="2"/>
        </w:numPr>
        <w:rPr>
          <w:color w:val="000000" w:themeColor="text1"/>
          <w:szCs w:val="24"/>
        </w:rPr>
      </w:pPr>
      <w:r>
        <w:rPr>
          <w:color w:val="000000" w:themeColor="text1"/>
          <w:szCs w:val="24"/>
        </w:rPr>
        <w:t xml:space="preserve">Continue to measure </w:t>
      </w:r>
      <w:r w:rsidR="000A582A" w:rsidRPr="009C70F5">
        <w:rPr>
          <w:color w:val="000000" w:themeColor="text1"/>
          <w:szCs w:val="24"/>
        </w:rPr>
        <w:t xml:space="preserve">performance </w:t>
      </w:r>
    </w:p>
    <w:p w14:paraId="5D764FA2" w14:textId="77777777" w:rsidR="000A582A" w:rsidRPr="009C70F5" w:rsidRDefault="000A582A" w:rsidP="000A582A">
      <w:pPr>
        <w:pStyle w:val="BodyTextIndent2"/>
        <w:numPr>
          <w:ilvl w:val="1"/>
          <w:numId w:val="2"/>
        </w:numPr>
        <w:rPr>
          <w:color w:val="000000" w:themeColor="text1"/>
          <w:szCs w:val="24"/>
        </w:rPr>
      </w:pPr>
      <w:r w:rsidRPr="009C70F5">
        <w:rPr>
          <w:color w:val="000000" w:themeColor="text1"/>
          <w:szCs w:val="24"/>
        </w:rPr>
        <w:t>Service</w:t>
      </w:r>
      <w:r w:rsidR="00C56D97" w:rsidRPr="009C70F5">
        <w:rPr>
          <w:color w:val="000000" w:themeColor="text1"/>
          <w:szCs w:val="24"/>
        </w:rPr>
        <w:t xml:space="preserve"> quality</w:t>
      </w:r>
    </w:p>
    <w:p w14:paraId="1ED9EA8C" w14:textId="77777777" w:rsidR="000A582A" w:rsidRPr="009C70F5" w:rsidRDefault="000A582A" w:rsidP="000A582A">
      <w:pPr>
        <w:pStyle w:val="BodyTextIndent2"/>
        <w:numPr>
          <w:ilvl w:val="1"/>
          <w:numId w:val="2"/>
        </w:numPr>
        <w:rPr>
          <w:color w:val="000000" w:themeColor="text1"/>
          <w:szCs w:val="24"/>
        </w:rPr>
      </w:pPr>
      <w:r w:rsidRPr="009C70F5">
        <w:rPr>
          <w:color w:val="000000" w:themeColor="text1"/>
          <w:szCs w:val="24"/>
        </w:rPr>
        <w:t>Employee</w:t>
      </w:r>
      <w:r w:rsidR="00C56D97" w:rsidRPr="009C70F5">
        <w:rPr>
          <w:color w:val="000000" w:themeColor="text1"/>
          <w:szCs w:val="24"/>
        </w:rPr>
        <w:t xml:space="preserve"> training and skill development</w:t>
      </w:r>
    </w:p>
    <w:p w14:paraId="2907B788" w14:textId="77777777" w:rsidR="000A582A" w:rsidRPr="009C70F5" w:rsidRDefault="000A582A" w:rsidP="000A582A">
      <w:pPr>
        <w:pStyle w:val="BodyTextIndent2"/>
        <w:numPr>
          <w:ilvl w:val="1"/>
          <w:numId w:val="2"/>
        </w:numPr>
        <w:rPr>
          <w:color w:val="000000" w:themeColor="text1"/>
          <w:szCs w:val="24"/>
        </w:rPr>
      </w:pPr>
      <w:r w:rsidRPr="009C70F5">
        <w:rPr>
          <w:color w:val="000000" w:themeColor="text1"/>
          <w:szCs w:val="24"/>
        </w:rPr>
        <w:t>Organizational</w:t>
      </w:r>
      <w:r w:rsidR="00C56D97" w:rsidRPr="009C70F5">
        <w:rPr>
          <w:color w:val="000000" w:themeColor="text1"/>
          <w:szCs w:val="24"/>
        </w:rPr>
        <w:t xml:space="preserve"> strategic focus</w:t>
      </w:r>
    </w:p>
    <w:p w14:paraId="28189880" w14:textId="77777777" w:rsidR="000A582A" w:rsidRPr="009C70F5" w:rsidRDefault="000755DC" w:rsidP="000755DC">
      <w:pPr>
        <w:pStyle w:val="BodyTextIndent2"/>
        <w:numPr>
          <w:ilvl w:val="0"/>
          <w:numId w:val="2"/>
        </w:numPr>
        <w:rPr>
          <w:color w:val="000000" w:themeColor="text1"/>
          <w:szCs w:val="24"/>
        </w:rPr>
      </w:pPr>
      <w:r w:rsidRPr="009C70F5">
        <w:rPr>
          <w:color w:val="000000" w:themeColor="text1"/>
          <w:szCs w:val="24"/>
        </w:rPr>
        <w:t>Continued</w:t>
      </w:r>
      <w:r w:rsidR="000A582A" w:rsidRPr="009C70F5">
        <w:rPr>
          <w:color w:val="000000" w:themeColor="text1"/>
          <w:szCs w:val="24"/>
        </w:rPr>
        <w:t xml:space="preserve"> consistency</w:t>
      </w:r>
      <w:r w:rsidRPr="009C70F5">
        <w:rPr>
          <w:color w:val="000000" w:themeColor="text1"/>
          <w:szCs w:val="24"/>
        </w:rPr>
        <w:t xml:space="preserve"> across marketing campaigns </w:t>
      </w:r>
    </w:p>
    <w:p w14:paraId="529F33E6" w14:textId="77777777" w:rsidR="000A582A" w:rsidRPr="009C70F5" w:rsidRDefault="001A3579" w:rsidP="000755DC">
      <w:pPr>
        <w:pStyle w:val="BodyTextIndent2"/>
        <w:numPr>
          <w:ilvl w:val="0"/>
          <w:numId w:val="2"/>
        </w:numPr>
        <w:rPr>
          <w:color w:val="000000" w:themeColor="text1"/>
          <w:szCs w:val="24"/>
        </w:rPr>
      </w:pPr>
      <w:r w:rsidRPr="009C70F5">
        <w:rPr>
          <w:color w:val="000000" w:themeColor="text1"/>
          <w:szCs w:val="24"/>
        </w:rPr>
        <w:t>Evaluation of</w:t>
      </w:r>
      <w:r w:rsidR="000755DC" w:rsidRPr="009C70F5">
        <w:rPr>
          <w:color w:val="000000" w:themeColor="text1"/>
          <w:szCs w:val="24"/>
        </w:rPr>
        <w:t xml:space="preserve"> </w:t>
      </w:r>
      <w:r w:rsidR="000A582A" w:rsidRPr="009C70F5">
        <w:rPr>
          <w:color w:val="000000" w:themeColor="text1"/>
          <w:szCs w:val="24"/>
        </w:rPr>
        <w:t>department</w:t>
      </w:r>
      <w:r w:rsidR="00B3774B" w:rsidRPr="009C70F5">
        <w:rPr>
          <w:color w:val="000000" w:themeColor="text1"/>
          <w:szCs w:val="24"/>
        </w:rPr>
        <w:t>al</w:t>
      </w:r>
      <w:r w:rsidR="000A582A" w:rsidRPr="009C70F5">
        <w:rPr>
          <w:color w:val="000000" w:themeColor="text1"/>
          <w:szCs w:val="24"/>
        </w:rPr>
        <w:t xml:space="preserve"> plans (</w:t>
      </w:r>
      <w:r w:rsidR="00B3774B" w:rsidRPr="009C70F5">
        <w:rPr>
          <w:color w:val="000000" w:themeColor="text1"/>
          <w:szCs w:val="24"/>
        </w:rPr>
        <w:t xml:space="preserve">customer </w:t>
      </w:r>
      <w:r w:rsidR="000A582A" w:rsidRPr="009C70F5">
        <w:rPr>
          <w:color w:val="000000" w:themeColor="text1"/>
          <w:szCs w:val="24"/>
        </w:rPr>
        <w:t>service</w:t>
      </w:r>
      <w:r w:rsidR="000755DC" w:rsidRPr="009C70F5">
        <w:rPr>
          <w:color w:val="000000" w:themeColor="text1"/>
          <w:szCs w:val="24"/>
        </w:rPr>
        <w:t xml:space="preserve"> improvement and efficiency</w:t>
      </w:r>
      <w:r w:rsidR="000A582A" w:rsidRPr="009C70F5">
        <w:rPr>
          <w:color w:val="000000" w:themeColor="text1"/>
          <w:szCs w:val="24"/>
        </w:rPr>
        <w:t>)</w:t>
      </w:r>
    </w:p>
    <w:p w14:paraId="4096F0BF" w14:textId="77777777" w:rsidR="000A582A" w:rsidRPr="009C70F5" w:rsidRDefault="000A582A" w:rsidP="000755DC">
      <w:pPr>
        <w:pStyle w:val="BodyTextIndent2"/>
        <w:numPr>
          <w:ilvl w:val="0"/>
          <w:numId w:val="2"/>
        </w:numPr>
        <w:rPr>
          <w:color w:val="000000" w:themeColor="text1"/>
          <w:szCs w:val="24"/>
        </w:rPr>
      </w:pPr>
      <w:r w:rsidRPr="009C70F5">
        <w:rPr>
          <w:color w:val="000000" w:themeColor="text1"/>
          <w:szCs w:val="24"/>
        </w:rPr>
        <w:t xml:space="preserve">Grow market share by highlighting benefits when compared to </w:t>
      </w:r>
      <w:r w:rsidR="001B06E7" w:rsidRPr="009C70F5">
        <w:rPr>
          <w:color w:val="000000" w:themeColor="text1"/>
          <w:szCs w:val="24"/>
        </w:rPr>
        <w:t>direct and indirect competition</w:t>
      </w:r>
    </w:p>
    <w:p w14:paraId="799EA254" w14:textId="77777777" w:rsidR="000755DC" w:rsidRPr="009C70F5" w:rsidRDefault="000755DC" w:rsidP="000755DC">
      <w:pPr>
        <w:pStyle w:val="BodyTextIndent2"/>
        <w:numPr>
          <w:ilvl w:val="0"/>
          <w:numId w:val="2"/>
        </w:numPr>
        <w:rPr>
          <w:color w:val="000000" w:themeColor="text1"/>
          <w:szCs w:val="24"/>
        </w:rPr>
      </w:pPr>
      <w:r w:rsidRPr="009C70F5">
        <w:rPr>
          <w:color w:val="000000" w:themeColor="text1"/>
          <w:szCs w:val="24"/>
        </w:rPr>
        <w:t>Enhanced</w:t>
      </w:r>
      <w:r w:rsidR="000A582A" w:rsidRPr="009C70F5">
        <w:rPr>
          <w:color w:val="000000" w:themeColor="text1"/>
          <w:szCs w:val="24"/>
        </w:rPr>
        <w:t xml:space="preserve"> database </w:t>
      </w:r>
      <w:r w:rsidRPr="009C70F5">
        <w:rPr>
          <w:color w:val="000000" w:themeColor="text1"/>
          <w:szCs w:val="24"/>
        </w:rPr>
        <w:t>segmentation for stronger utilization in targeting markets</w:t>
      </w:r>
    </w:p>
    <w:p w14:paraId="55C673A4" w14:textId="77777777" w:rsidR="009339A5" w:rsidRPr="009C70F5" w:rsidRDefault="009339A5" w:rsidP="000755DC">
      <w:pPr>
        <w:pStyle w:val="BodyTextIndent2"/>
        <w:numPr>
          <w:ilvl w:val="0"/>
          <w:numId w:val="2"/>
        </w:numPr>
        <w:rPr>
          <w:color w:val="000000" w:themeColor="text1"/>
          <w:szCs w:val="24"/>
        </w:rPr>
      </w:pPr>
      <w:r w:rsidRPr="009C70F5">
        <w:rPr>
          <w:color w:val="000000" w:themeColor="text1"/>
          <w:szCs w:val="24"/>
        </w:rPr>
        <w:t>Employ</w:t>
      </w:r>
      <w:r w:rsidR="000A582A" w:rsidRPr="009C70F5">
        <w:rPr>
          <w:color w:val="000000" w:themeColor="text1"/>
          <w:szCs w:val="24"/>
        </w:rPr>
        <w:t xml:space="preserve"> </w:t>
      </w:r>
      <w:r w:rsidR="0020702C" w:rsidRPr="009C70F5">
        <w:rPr>
          <w:color w:val="000000" w:themeColor="text1"/>
          <w:szCs w:val="24"/>
        </w:rPr>
        <w:t>Loyalty Programs</w:t>
      </w:r>
      <w:r w:rsidR="000A582A" w:rsidRPr="009C70F5">
        <w:rPr>
          <w:color w:val="000000" w:themeColor="text1"/>
          <w:szCs w:val="24"/>
        </w:rPr>
        <w:t xml:space="preserve"> to drive incremental revenue </w:t>
      </w:r>
    </w:p>
    <w:p w14:paraId="394F2F9F" w14:textId="77777777" w:rsidR="000A582A" w:rsidRDefault="000A582A" w:rsidP="000755DC">
      <w:pPr>
        <w:pStyle w:val="BodyTextIndent2"/>
        <w:numPr>
          <w:ilvl w:val="0"/>
          <w:numId w:val="2"/>
        </w:numPr>
        <w:rPr>
          <w:color w:val="000000" w:themeColor="text1"/>
          <w:szCs w:val="24"/>
        </w:rPr>
      </w:pPr>
      <w:r w:rsidRPr="009C70F5">
        <w:rPr>
          <w:color w:val="000000" w:themeColor="text1"/>
          <w:szCs w:val="24"/>
        </w:rPr>
        <w:t>Stay current with technologies</w:t>
      </w:r>
    </w:p>
    <w:p w14:paraId="4A33F340" w14:textId="75A6C174" w:rsidR="00AC7D6F" w:rsidRPr="009C70F5" w:rsidRDefault="0093704D" w:rsidP="00573FD9">
      <w:pPr>
        <w:jc w:val="both"/>
        <w:rPr>
          <w:rFonts w:ascii="Times New Roman" w:hAnsi="Times New Roman" w:cs="Times New Roman"/>
          <w:b/>
          <w:sz w:val="24"/>
          <w:szCs w:val="24"/>
        </w:rPr>
      </w:pPr>
      <w:r>
        <w:rPr>
          <w:rFonts w:ascii="Times New Roman" w:hAnsi="Times New Roman" w:cs="Times New Roman"/>
          <w:b/>
          <w:sz w:val="24"/>
          <w:szCs w:val="24"/>
        </w:rPr>
        <w:t>P</w:t>
      </w:r>
      <w:r w:rsidR="00AC7D6F" w:rsidRPr="009C70F5">
        <w:rPr>
          <w:rFonts w:ascii="Times New Roman" w:hAnsi="Times New Roman" w:cs="Times New Roman"/>
          <w:b/>
          <w:sz w:val="24"/>
          <w:szCs w:val="24"/>
        </w:rPr>
        <w:t>ro-forma Financial Statement (YE</w:t>
      </w:r>
      <w:r w:rsidR="0014694A" w:rsidRPr="009C70F5">
        <w:rPr>
          <w:rFonts w:ascii="Times New Roman" w:hAnsi="Times New Roman" w:cs="Times New Roman"/>
          <w:b/>
          <w:sz w:val="24"/>
          <w:szCs w:val="24"/>
        </w:rPr>
        <w:t xml:space="preserve"> December 31,</w:t>
      </w:r>
      <w:r w:rsidR="00AC7D6F" w:rsidRPr="009C70F5">
        <w:rPr>
          <w:rFonts w:ascii="Times New Roman" w:hAnsi="Times New Roman" w:cs="Times New Roman"/>
          <w:b/>
          <w:sz w:val="24"/>
          <w:szCs w:val="24"/>
        </w:rPr>
        <w:t xml:space="preserve"> 20</w:t>
      </w:r>
      <w:r w:rsidR="00E2374A">
        <w:rPr>
          <w:rFonts w:ascii="Times New Roman" w:hAnsi="Times New Roman" w:cs="Times New Roman"/>
          <w:b/>
          <w:sz w:val="24"/>
          <w:szCs w:val="24"/>
        </w:rPr>
        <w:t>2</w:t>
      </w:r>
      <w:r w:rsidR="009228EC">
        <w:rPr>
          <w:rFonts w:ascii="Times New Roman" w:hAnsi="Times New Roman" w:cs="Times New Roman"/>
          <w:b/>
          <w:sz w:val="24"/>
          <w:szCs w:val="24"/>
        </w:rPr>
        <w:t>1</w:t>
      </w:r>
      <w:r w:rsidR="00AC7D6F" w:rsidRPr="009C70F5">
        <w:rPr>
          <w:rFonts w:ascii="Times New Roman" w:hAnsi="Times New Roman" w:cs="Times New Roman"/>
          <w:b/>
          <w:sz w:val="24"/>
          <w:szCs w:val="24"/>
        </w:rPr>
        <w:t>-20</w:t>
      </w:r>
      <w:r w:rsidR="00061E5B">
        <w:rPr>
          <w:rFonts w:ascii="Times New Roman" w:hAnsi="Times New Roman" w:cs="Times New Roman"/>
          <w:b/>
          <w:sz w:val="24"/>
          <w:szCs w:val="24"/>
        </w:rPr>
        <w:t>2</w:t>
      </w:r>
      <w:r w:rsidR="009228EC">
        <w:rPr>
          <w:rFonts w:ascii="Times New Roman" w:hAnsi="Times New Roman" w:cs="Times New Roman"/>
          <w:b/>
          <w:sz w:val="24"/>
          <w:szCs w:val="24"/>
        </w:rPr>
        <w:t>3</w:t>
      </w:r>
      <w:r w:rsidR="00AC7D6F" w:rsidRPr="009C70F5">
        <w:rPr>
          <w:rFonts w:ascii="Times New Roman" w:hAnsi="Times New Roman" w:cs="Times New Roman"/>
          <w:b/>
          <w:sz w:val="24"/>
          <w:szCs w:val="24"/>
        </w:rPr>
        <w:t>):</w:t>
      </w:r>
    </w:p>
    <w:p w14:paraId="4607BE15" w14:textId="7E4E017C" w:rsidR="00E90B36" w:rsidRPr="009C70F5" w:rsidRDefault="00E90B36" w:rsidP="007E3285">
      <w:pPr>
        <w:spacing w:after="0"/>
        <w:jc w:val="both"/>
        <w:rPr>
          <w:rFonts w:ascii="Times New Roman" w:eastAsia="Times New Roman" w:hAnsi="Times New Roman" w:cs="Times New Roman"/>
          <w:color w:val="000000"/>
          <w:sz w:val="24"/>
          <w:szCs w:val="24"/>
        </w:rPr>
      </w:pPr>
      <w:r w:rsidRPr="009C70F5">
        <w:rPr>
          <w:rFonts w:ascii="Times New Roman" w:eastAsia="Times New Roman" w:hAnsi="Times New Roman" w:cs="Times New Roman"/>
          <w:color w:val="000000"/>
          <w:sz w:val="24"/>
          <w:szCs w:val="24"/>
        </w:rPr>
        <w:t>The following pro</w:t>
      </w:r>
      <w:r w:rsidR="0038715A" w:rsidRPr="009C70F5">
        <w:rPr>
          <w:rFonts w:ascii="Times New Roman" w:eastAsia="Times New Roman" w:hAnsi="Times New Roman" w:cs="Times New Roman"/>
          <w:color w:val="000000"/>
          <w:sz w:val="24"/>
          <w:szCs w:val="24"/>
        </w:rPr>
        <w:t>-</w:t>
      </w:r>
      <w:r w:rsidRPr="009C70F5">
        <w:rPr>
          <w:rFonts w:ascii="Times New Roman" w:eastAsia="Times New Roman" w:hAnsi="Times New Roman" w:cs="Times New Roman"/>
          <w:color w:val="000000"/>
          <w:sz w:val="24"/>
          <w:szCs w:val="24"/>
        </w:rPr>
        <w:t xml:space="preserve">forma Income Statement represents </w:t>
      </w:r>
      <w:r w:rsidR="00112D1A">
        <w:rPr>
          <w:rFonts w:ascii="Times New Roman" w:eastAsia="Times New Roman" w:hAnsi="Times New Roman" w:cs="Times New Roman"/>
          <w:color w:val="000000"/>
          <w:sz w:val="24"/>
          <w:szCs w:val="24"/>
        </w:rPr>
        <w:t xml:space="preserve">Warm Springs </w:t>
      </w:r>
      <w:r w:rsidR="00E63F5D">
        <w:rPr>
          <w:rFonts w:ascii="Times New Roman" w:eastAsia="Times New Roman" w:hAnsi="Times New Roman" w:cs="Times New Roman"/>
          <w:color w:val="000000"/>
          <w:sz w:val="24"/>
          <w:szCs w:val="24"/>
        </w:rPr>
        <w:t>Csino</w:t>
      </w:r>
      <w:r w:rsidR="00ED0029">
        <w:rPr>
          <w:rFonts w:ascii="Times New Roman" w:eastAsia="Times New Roman" w:hAnsi="Times New Roman" w:cs="Times New Roman"/>
          <w:color w:val="000000"/>
          <w:sz w:val="24"/>
          <w:szCs w:val="24"/>
        </w:rPr>
        <w:t xml:space="preserve"> Enterprises</w:t>
      </w:r>
      <w:r w:rsidRPr="009C70F5">
        <w:rPr>
          <w:rFonts w:ascii="Times New Roman" w:eastAsia="Times New Roman" w:hAnsi="Times New Roman" w:cs="Times New Roman"/>
          <w:color w:val="000000"/>
          <w:sz w:val="24"/>
          <w:szCs w:val="24"/>
        </w:rPr>
        <w:t xml:space="preserve"> Management </w:t>
      </w:r>
      <w:r w:rsidR="00E21933" w:rsidRPr="009C70F5">
        <w:rPr>
          <w:rFonts w:ascii="Times New Roman" w:eastAsia="Times New Roman" w:hAnsi="Times New Roman" w:cs="Times New Roman"/>
          <w:color w:val="000000"/>
          <w:sz w:val="24"/>
          <w:szCs w:val="24"/>
        </w:rPr>
        <w:t>plan analysis and projections</w:t>
      </w:r>
      <w:r w:rsidRPr="009C70F5">
        <w:rPr>
          <w:rFonts w:ascii="Times New Roman" w:eastAsia="Times New Roman" w:hAnsi="Times New Roman" w:cs="Times New Roman"/>
          <w:color w:val="000000"/>
          <w:sz w:val="24"/>
          <w:szCs w:val="24"/>
        </w:rPr>
        <w:t xml:space="preserve"> for </w:t>
      </w:r>
      <w:r w:rsidR="006754A9" w:rsidRPr="009C70F5">
        <w:rPr>
          <w:rFonts w:ascii="Times New Roman" w:eastAsia="Times New Roman" w:hAnsi="Times New Roman" w:cs="Times New Roman"/>
          <w:color w:val="000000"/>
          <w:sz w:val="24"/>
          <w:szCs w:val="24"/>
        </w:rPr>
        <w:t>the years ended December 31, 20</w:t>
      </w:r>
      <w:r w:rsidR="00A6318B">
        <w:rPr>
          <w:rFonts w:ascii="Times New Roman" w:eastAsia="Times New Roman" w:hAnsi="Times New Roman" w:cs="Times New Roman"/>
          <w:color w:val="000000"/>
          <w:sz w:val="24"/>
          <w:szCs w:val="24"/>
        </w:rPr>
        <w:t>2</w:t>
      </w:r>
      <w:r w:rsidR="009228EC">
        <w:rPr>
          <w:rFonts w:ascii="Times New Roman" w:eastAsia="Times New Roman" w:hAnsi="Times New Roman" w:cs="Times New Roman"/>
          <w:color w:val="000000"/>
          <w:sz w:val="24"/>
          <w:szCs w:val="24"/>
        </w:rPr>
        <w:t>1</w:t>
      </w:r>
      <w:r w:rsidRPr="009C70F5">
        <w:rPr>
          <w:rFonts w:ascii="Times New Roman" w:eastAsia="Times New Roman" w:hAnsi="Times New Roman" w:cs="Times New Roman"/>
          <w:color w:val="000000"/>
          <w:sz w:val="24"/>
          <w:szCs w:val="24"/>
        </w:rPr>
        <w:t xml:space="preserve"> to 20</w:t>
      </w:r>
      <w:r w:rsidR="00061E5B">
        <w:rPr>
          <w:rFonts w:ascii="Times New Roman" w:eastAsia="Times New Roman" w:hAnsi="Times New Roman" w:cs="Times New Roman"/>
          <w:color w:val="000000"/>
          <w:sz w:val="24"/>
          <w:szCs w:val="24"/>
        </w:rPr>
        <w:t>2</w:t>
      </w:r>
      <w:r w:rsidR="009228EC">
        <w:rPr>
          <w:rFonts w:ascii="Times New Roman" w:eastAsia="Times New Roman" w:hAnsi="Times New Roman" w:cs="Times New Roman"/>
          <w:color w:val="000000"/>
          <w:sz w:val="24"/>
          <w:szCs w:val="24"/>
        </w:rPr>
        <w:t>3</w:t>
      </w:r>
      <w:r w:rsidRPr="009C70F5">
        <w:rPr>
          <w:rFonts w:ascii="Times New Roman" w:eastAsia="Times New Roman" w:hAnsi="Times New Roman" w:cs="Times New Roman"/>
          <w:color w:val="000000"/>
          <w:sz w:val="24"/>
          <w:szCs w:val="24"/>
        </w:rPr>
        <w:t>:</w:t>
      </w:r>
    </w:p>
    <w:tbl>
      <w:tblPr>
        <w:tblW w:w="7956" w:type="dxa"/>
        <w:tblLook w:val="04A0" w:firstRow="1" w:lastRow="0" w:firstColumn="1" w:lastColumn="0" w:noHBand="0" w:noVBand="1"/>
      </w:tblPr>
      <w:tblGrid>
        <w:gridCol w:w="3786"/>
        <w:gridCol w:w="1480"/>
        <w:gridCol w:w="1345"/>
        <w:gridCol w:w="1345"/>
      </w:tblGrid>
      <w:tr w:rsidR="0073786F" w:rsidRPr="009C70F5" w14:paraId="46F7292F" w14:textId="77777777" w:rsidTr="009C70F5">
        <w:trPr>
          <w:trHeight w:val="300"/>
        </w:trPr>
        <w:tc>
          <w:tcPr>
            <w:tcW w:w="7956" w:type="dxa"/>
            <w:gridSpan w:val="4"/>
            <w:tcBorders>
              <w:top w:val="nil"/>
              <w:left w:val="nil"/>
              <w:bottom w:val="nil"/>
              <w:right w:val="nil"/>
            </w:tcBorders>
            <w:shd w:val="clear" w:color="auto" w:fill="auto"/>
            <w:noWrap/>
            <w:vAlign w:val="bottom"/>
          </w:tcPr>
          <w:p w14:paraId="321411AF" w14:textId="77777777" w:rsidR="00223061" w:rsidRPr="009C70F5" w:rsidRDefault="00223061" w:rsidP="00223061">
            <w:pPr>
              <w:spacing w:after="0" w:line="240" w:lineRule="auto"/>
              <w:jc w:val="center"/>
              <w:rPr>
                <w:rFonts w:ascii="Times New Roman" w:eastAsia="Times New Roman" w:hAnsi="Times New Roman" w:cs="Times New Roman"/>
                <w:b/>
                <w:bCs/>
                <w:color w:val="000000"/>
                <w:sz w:val="24"/>
                <w:szCs w:val="24"/>
              </w:rPr>
            </w:pPr>
          </w:p>
        </w:tc>
      </w:tr>
      <w:tr w:rsidR="0073786F" w:rsidRPr="00B033E9" w14:paraId="5C8BD311" w14:textId="77777777" w:rsidTr="009C70F5">
        <w:trPr>
          <w:trHeight w:val="300"/>
        </w:trPr>
        <w:tc>
          <w:tcPr>
            <w:tcW w:w="7956" w:type="dxa"/>
            <w:gridSpan w:val="4"/>
            <w:tcBorders>
              <w:top w:val="nil"/>
              <w:left w:val="nil"/>
              <w:bottom w:val="nil"/>
              <w:right w:val="nil"/>
            </w:tcBorders>
            <w:shd w:val="clear" w:color="auto" w:fill="auto"/>
            <w:noWrap/>
            <w:vAlign w:val="bottom"/>
          </w:tcPr>
          <w:tbl>
            <w:tblPr>
              <w:tblW w:w="7740" w:type="dxa"/>
              <w:tblLook w:val="04A0" w:firstRow="1" w:lastRow="0" w:firstColumn="1" w:lastColumn="0" w:noHBand="0" w:noVBand="1"/>
            </w:tblPr>
            <w:tblGrid>
              <w:gridCol w:w="3852"/>
              <w:gridCol w:w="1296"/>
              <w:gridCol w:w="1296"/>
              <w:gridCol w:w="1296"/>
            </w:tblGrid>
            <w:tr w:rsidR="0073786F" w:rsidRPr="00B033E9" w14:paraId="305627FF" w14:textId="77777777" w:rsidTr="00573FD9">
              <w:trPr>
                <w:trHeight w:val="300"/>
              </w:trPr>
              <w:tc>
                <w:tcPr>
                  <w:tcW w:w="7740" w:type="dxa"/>
                  <w:gridSpan w:val="4"/>
                  <w:tcBorders>
                    <w:top w:val="nil"/>
                    <w:left w:val="nil"/>
                    <w:bottom w:val="nil"/>
                    <w:right w:val="nil"/>
                  </w:tcBorders>
                  <w:shd w:val="clear" w:color="auto" w:fill="auto"/>
                  <w:noWrap/>
                  <w:vAlign w:val="bottom"/>
                  <w:hideMark/>
                </w:tcPr>
                <w:p w14:paraId="12F3DC46" w14:textId="77777777" w:rsidR="00C73E7E" w:rsidRPr="00B033E9" w:rsidRDefault="008E0008" w:rsidP="00C73E7E">
                  <w:pPr>
                    <w:spacing w:after="0" w:line="240" w:lineRule="auto"/>
                    <w:jc w:val="center"/>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Indian Head Casino &amp; Plateau Travel Plaza</w:t>
                  </w:r>
                </w:p>
              </w:tc>
            </w:tr>
            <w:tr w:rsidR="0073786F" w:rsidRPr="00B033E9" w14:paraId="3695BED9" w14:textId="77777777" w:rsidTr="00573FD9">
              <w:trPr>
                <w:trHeight w:val="300"/>
              </w:trPr>
              <w:tc>
                <w:tcPr>
                  <w:tcW w:w="7740" w:type="dxa"/>
                  <w:gridSpan w:val="4"/>
                  <w:tcBorders>
                    <w:top w:val="nil"/>
                    <w:left w:val="nil"/>
                    <w:bottom w:val="nil"/>
                    <w:right w:val="nil"/>
                  </w:tcBorders>
                  <w:shd w:val="clear" w:color="auto" w:fill="auto"/>
                  <w:noWrap/>
                  <w:vAlign w:val="bottom"/>
                  <w:hideMark/>
                </w:tcPr>
                <w:p w14:paraId="74492ECF" w14:textId="77777777" w:rsidR="00C73E7E" w:rsidRPr="00B033E9" w:rsidRDefault="00C73E7E" w:rsidP="00C73E7E">
                  <w:pPr>
                    <w:spacing w:after="0" w:line="240" w:lineRule="auto"/>
                    <w:jc w:val="center"/>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Three Year Pro-</w:t>
                  </w:r>
                  <w:r w:rsidR="00981323" w:rsidRPr="00B033E9">
                    <w:rPr>
                      <w:rFonts w:ascii="Times New Roman" w:eastAsia="Times New Roman" w:hAnsi="Times New Roman" w:cs="Times New Roman"/>
                      <w:b/>
                      <w:bCs/>
                      <w:color w:val="000000"/>
                      <w:sz w:val="24"/>
                      <w:szCs w:val="24"/>
                    </w:rPr>
                    <w:t>Forma</w:t>
                  </w:r>
                  <w:r w:rsidRPr="00B033E9">
                    <w:rPr>
                      <w:rFonts w:ascii="Times New Roman" w:eastAsia="Times New Roman" w:hAnsi="Times New Roman" w:cs="Times New Roman"/>
                      <w:b/>
                      <w:bCs/>
                      <w:color w:val="000000"/>
                      <w:sz w:val="24"/>
                      <w:szCs w:val="24"/>
                    </w:rPr>
                    <w:t xml:space="preserve"> Income Statement</w:t>
                  </w:r>
                </w:p>
              </w:tc>
            </w:tr>
            <w:tr w:rsidR="0073786F" w:rsidRPr="00B033E9" w14:paraId="6242A296" w14:textId="77777777" w:rsidTr="00573FD9">
              <w:trPr>
                <w:trHeight w:val="300"/>
              </w:trPr>
              <w:tc>
                <w:tcPr>
                  <w:tcW w:w="7740" w:type="dxa"/>
                  <w:gridSpan w:val="4"/>
                  <w:tcBorders>
                    <w:top w:val="nil"/>
                    <w:left w:val="nil"/>
                    <w:bottom w:val="nil"/>
                    <w:right w:val="nil"/>
                  </w:tcBorders>
                  <w:shd w:val="clear" w:color="auto" w:fill="auto"/>
                  <w:noWrap/>
                  <w:vAlign w:val="bottom"/>
                  <w:hideMark/>
                </w:tcPr>
                <w:p w14:paraId="29C76A38" w14:textId="3C9A430D" w:rsidR="00C73E7E" w:rsidRPr="00B033E9" w:rsidRDefault="00C73E7E" w:rsidP="001B3CD1">
                  <w:pPr>
                    <w:spacing w:after="0" w:line="240" w:lineRule="auto"/>
                    <w:jc w:val="center"/>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For years ended December 20</w:t>
                  </w:r>
                  <w:r w:rsidR="00336F7E" w:rsidRPr="00B033E9">
                    <w:rPr>
                      <w:rFonts w:ascii="Times New Roman" w:eastAsia="Times New Roman" w:hAnsi="Times New Roman" w:cs="Times New Roman"/>
                      <w:b/>
                      <w:bCs/>
                      <w:color w:val="000000"/>
                      <w:sz w:val="24"/>
                      <w:szCs w:val="24"/>
                    </w:rPr>
                    <w:t>2</w:t>
                  </w:r>
                  <w:r w:rsidR="00293F92" w:rsidRPr="00B033E9">
                    <w:rPr>
                      <w:rFonts w:ascii="Times New Roman" w:eastAsia="Times New Roman" w:hAnsi="Times New Roman" w:cs="Times New Roman"/>
                      <w:b/>
                      <w:bCs/>
                      <w:color w:val="000000"/>
                      <w:sz w:val="24"/>
                      <w:szCs w:val="24"/>
                    </w:rPr>
                    <w:t>1</w:t>
                  </w:r>
                  <w:r w:rsidRPr="00B033E9">
                    <w:rPr>
                      <w:rFonts w:ascii="Times New Roman" w:eastAsia="Times New Roman" w:hAnsi="Times New Roman" w:cs="Times New Roman"/>
                      <w:b/>
                      <w:bCs/>
                      <w:color w:val="000000"/>
                      <w:sz w:val="24"/>
                      <w:szCs w:val="24"/>
                    </w:rPr>
                    <w:t xml:space="preserve"> to 20</w:t>
                  </w:r>
                  <w:r w:rsidR="00390D7B" w:rsidRPr="00B033E9">
                    <w:rPr>
                      <w:rFonts w:ascii="Times New Roman" w:eastAsia="Times New Roman" w:hAnsi="Times New Roman" w:cs="Times New Roman"/>
                      <w:b/>
                      <w:bCs/>
                      <w:color w:val="000000"/>
                      <w:sz w:val="24"/>
                      <w:szCs w:val="24"/>
                    </w:rPr>
                    <w:t>2</w:t>
                  </w:r>
                  <w:r w:rsidR="00293F92" w:rsidRPr="00B033E9">
                    <w:rPr>
                      <w:rFonts w:ascii="Times New Roman" w:eastAsia="Times New Roman" w:hAnsi="Times New Roman" w:cs="Times New Roman"/>
                      <w:b/>
                      <w:bCs/>
                      <w:color w:val="000000"/>
                      <w:sz w:val="24"/>
                      <w:szCs w:val="24"/>
                    </w:rPr>
                    <w:t>3</w:t>
                  </w:r>
                </w:p>
              </w:tc>
            </w:tr>
            <w:tr w:rsidR="004928DA" w:rsidRPr="00B033E9" w14:paraId="3376086B" w14:textId="77777777" w:rsidTr="00573FD9">
              <w:trPr>
                <w:trHeight w:val="135"/>
              </w:trPr>
              <w:tc>
                <w:tcPr>
                  <w:tcW w:w="3852" w:type="dxa"/>
                  <w:tcBorders>
                    <w:top w:val="nil"/>
                    <w:left w:val="nil"/>
                    <w:bottom w:val="nil"/>
                    <w:right w:val="nil"/>
                  </w:tcBorders>
                  <w:shd w:val="clear" w:color="auto" w:fill="auto"/>
                  <w:noWrap/>
                  <w:vAlign w:val="bottom"/>
                  <w:hideMark/>
                </w:tcPr>
                <w:p w14:paraId="31642FD5" w14:textId="77777777" w:rsidR="00C73E7E" w:rsidRPr="00B033E9" w:rsidRDefault="00C73E7E" w:rsidP="00C73E7E">
                  <w:pPr>
                    <w:spacing w:after="0" w:line="240" w:lineRule="auto"/>
                    <w:jc w:val="center"/>
                    <w:rPr>
                      <w:rFonts w:ascii="Times New Roman" w:eastAsia="Times New Roman" w:hAnsi="Times New Roman" w:cs="Times New Roman"/>
                      <w:b/>
                      <w:bCs/>
                      <w:color w:val="000000"/>
                      <w:sz w:val="24"/>
                      <w:szCs w:val="24"/>
                    </w:rPr>
                  </w:pPr>
                </w:p>
              </w:tc>
              <w:tc>
                <w:tcPr>
                  <w:tcW w:w="1296" w:type="dxa"/>
                  <w:tcBorders>
                    <w:top w:val="nil"/>
                    <w:left w:val="nil"/>
                    <w:bottom w:val="nil"/>
                    <w:right w:val="nil"/>
                  </w:tcBorders>
                  <w:shd w:val="clear" w:color="auto" w:fill="auto"/>
                  <w:noWrap/>
                  <w:vAlign w:val="bottom"/>
                  <w:hideMark/>
                </w:tcPr>
                <w:p w14:paraId="6B8BC1F6" w14:textId="77777777" w:rsidR="00C73E7E" w:rsidRPr="00B033E9" w:rsidRDefault="00C73E7E" w:rsidP="00C73E7E">
                  <w:pPr>
                    <w:spacing w:after="0" w:line="240" w:lineRule="auto"/>
                    <w:rPr>
                      <w:rFonts w:ascii="Times New Roman" w:eastAsia="Times New Roman" w:hAnsi="Times New Roman" w:cs="Times New Roman"/>
                      <w:sz w:val="24"/>
                      <w:szCs w:val="24"/>
                    </w:rPr>
                  </w:pPr>
                </w:p>
              </w:tc>
              <w:tc>
                <w:tcPr>
                  <w:tcW w:w="1296" w:type="dxa"/>
                  <w:tcBorders>
                    <w:top w:val="nil"/>
                    <w:left w:val="nil"/>
                    <w:bottom w:val="nil"/>
                    <w:right w:val="nil"/>
                  </w:tcBorders>
                  <w:shd w:val="clear" w:color="auto" w:fill="auto"/>
                  <w:noWrap/>
                  <w:vAlign w:val="bottom"/>
                  <w:hideMark/>
                </w:tcPr>
                <w:p w14:paraId="6B9CF46C" w14:textId="77777777" w:rsidR="00C73E7E" w:rsidRPr="00B033E9" w:rsidRDefault="00C73E7E" w:rsidP="00C73E7E">
                  <w:pPr>
                    <w:spacing w:after="0" w:line="240" w:lineRule="auto"/>
                    <w:rPr>
                      <w:rFonts w:ascii="Times New Roman" w:eastAsia="Times New Roman" w:hAnsi="Times New Roman" w:cs="Times New Roman"/>
                      <w:sz w:val="24"/>
                      <w:szCs w:val="24"/>
                    </w:rPr>
                  </w:pPr>
                </w:p>
              </w:tc>
              <w:tc>
                <w:tcPr>
                  <w:tcW w:w="1296" w:type="dxa"/>
                  <w:tcBorders>
                    <w:top w:val="nil"/>
                    <w:left w:val="nil"/>
                    <w:bottom w:val="nil"/>
                    <w:right w:val="nil"/>
                  </w:tcBorders>
                  <w:shd w:val="clear" w:color="auto" w:fill="auto"/>
                  <w:noWrap/>
                  <w:vAlign w:val="bottom"/>
                  <w:hideMark/>
                </w:tcPr>
                <w:p w14:paraId="7F59CF63" w14:textId="77777777" w:rsidR="00C73E7E" w:rsidRPr="00B033E9" w:rsidRDefault="00C73E7E" w:rsidP="00C73E7E">
                  <w:pPr>
                    <w:spacing w:after="0" w:line="240" w:lineRule="auto"/>
                    <w:rPr>
                      <w:rFonts w:ascii="Times New Roman" w:eastAsia="Times New Roman" w:hAnsi="Times New Roman" w:cs="Times New Roman"/>
                      <w:sz w:val="24"/>
                      <w:szCs w:val="24"/>
                    </w:rPr>
                  </w:pPr>
                </w:p>
              </w:tc>
            </w:tr>
            <w:tr w:rsidR="004928DA" w:rsidRPr="00B033E9" w14:paraId="093A4045" w14:textId="77777777" w:rsidTr="00573FD9">
              <w:trPr>
                <w:trHeight w:val="300"/>
              </w:trPr>
              <w:tc>
                <w:tcPr>
                  <w:tcW w:w="3852" w:type="dxa"/>
                  <w:tcBorders>
                    <w:top w:val="nil"/>
                    <w:left w:val="nil"/>
                    <w:bottom w:val="nil"/>
                    <w:right w:val="nil"/>
                  </w:tcBorders>
                  <w:shd w:val="clear" w:color="auto" w:fill="auto"/>
                  <w:noWrap/>
                  <w:vAlign w:val="bottom"/>
                  <w:hideMark/>
                </w:tcPr>
                <w:p w14:paraId="522DC9A9" w14:textId="77777777" w:rsidR="00C73E7E" w:rsidRPr="00B033E9" w:rsidRDefault="00C73E7E" w:rsidP="00C73E7E">
                  <w:pPr>
                    <w:spacing w:after="0" w:line="240" w:lineRule="auto"/>
                    <w:rPr>
                      <w:rFonts w:ascii="Times New Roman" w:eastAsia="Times New Roman" w:hAnsi="Times New Roman" w:cs="Times New Roman"/>
                      <w:sz w:val="24"/>
                      <w:szCs w:val="24"/>
                    </w:rPr>
                  </w:pPr>
                </w:p>
              </w:tc>
              <w:tc>
                <w:tcPr>
                  <w:tcW w:w="1296" w:type="dxa"/>
                  <w:tcBorders>
                    <w:top w:val="nil"/>
                    <w:left w:val="nil"/>
                    <w:bottom w:val="nil"/>
                    <w:right w:val="nil"/>
                  </w:tcBorders>
                  <w:shd w:val="clear" w:color="auto" w:fill="auto"/>
                  <w:noWrap/>
                  <w:vAlign w:val="bottom"/>
                  <w:hideMark/>
                </w:tcPr>
                <w:p w14:paraId="419E3B9A" w14:textId="14917D52" w:rsidR="00C73E7E" w:rsidRPr="00B033E9" w:rsidRDefault="00C73E7E" w:rsidP="001B3CD1">
                  <w:pPr>
                    <w:spacing w:after="0" w:line="240" w:lineRule="auto"/>
                    <w:jc w:val="center"/>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20</w:t>
                  </w:r>
                  <w:r w:rsidR="00336F7E" w:rsidRPr="00B033E9">
                    <w:rPr>
                      <w:rFonts w:ascii="Times New Roman" w:eastAsia="Times New Roman" w:hAnsi="Times New Roman" w:cs="Times New Roman"/>
                      <w:b/>
                      <w:bCs/>
                      <w:color w:val="000000"/>
                      <w:sz w:val="24"/>
                      <w:szCs w:val="24"/>
                    </w:rPr>
                    <w:t>2</w:t>
                  </w:r>
                  <w:r w:rsidR="00293F92" w:rsidRPr="00B033E9">
                    <w:rPr>
                      <w:rFonts w:ascii="Times New Roman" w:eastAsia="Times New Roman" w:hAnsi="Times New Roman" w:cs="Times New Roman"/>
                      <w:b/>
                      <w:bCs/>
                      <w:color w:val="000000"/>
                      <w:sz w:val="24"/>
                      <w:szCs w:val="24"/>
                    </w:rPr>
                    <w:t>1</w:t>
                  </w:r>
                </w:p>
              </w:tc>
              <w:tc>
                <w:tcPr>
                  <w:tcW w:w="1296" w:type="dxa"/>
                  <w:tcBorders>
                    <w:top w:val="nil"/>
                    <w:left w:val="nil"/>
                    <w:bottom w:val="nil"/>
                    <w:right w:val="nil"/>
                  </w:tcBorders>
                  <w:shd w:val="clear" w:color="auto" w:fill="auto"/>
                  <w:noWrap/>
                  <w:vAlign w:val="bottom"/>
                  <w:hideMark/>
                </w:tcPr>
                <w:p w14:paraId="6E61494D" w14:textId="7A571AB8" w:rsidR="00C73E7E" w:rsidRPr="00B033E9" w:rsidRDefault="00C73E7E" w:rsidP="001B3CD1">
                  <w:pPr>
                    <w:spacing w:after="0" w:line="240" w:lineRule="auto"/>
                    <w:jc w:val="center"/>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20</w:t>
                  </w:r>
                  <w:r w:rsidR="00336F7E" w:rsidRPr="00B033E9">
                    <w:rPr>
                      <w:rFonts w:ascii="Times New Roman" w:eastAsia="Times New Roman" w:hAnsi="Times New Roman" w:cs="Times New Roman"/>
                      <w:b/>
                      <w:bCs/>
                      <w:color w:val="000000"/>
                      <w:sz w:val="24"/>
                      <w:szCs w:val="24"/>
                    </w:rPr>
                    <w:t>2</w:t>
                  </w:r>
                  <w:r w:rsidR="00293F92" w:rsidRPr="00B033E9">
                    <w:rPr>
                      <w:rFonts w:ascii="Times New Roman" w:eastAsia="Times New Roman" w:hAnsi="Times New Roman" w:cs="Times New Roman"/>
                      <w:b/>
                      <w:bCs/>
                      <w:color w:val="000000"/>
                      <w:sz w:val="24"/>
                      <w:szCs w:val="24"/>
                    </w:rPr>
                    <w:t>2</w:t>
                  </w:r>
                </w:p>
              </w:tc>
              <w:tc>
                <w:tcPr>
                  <w:tcW w:w="1296" w:type="dxa"/>
                  <w:tcBorders>
                    <w:top w:val="nil"/>
                    <w:left w:val="nil"/>
                    <w:bottom w:val="nil"/>
                    <w:right w:val="nil"/>
                  </w:tcBorders>
                  <w:shd w:val="clear" w:color="auto" w:fill="auto"/>
                  <w:noWrap/>
                  <w:vAlign w:val="bottom"/>
                  <w:hideMark/>
                </w:tcPr>
                <w:p w14:paraId="2545FE51" w14:textId="3ECC4AC8" w:rsidR="00C73E7E" w:rsidRPr="00B033E9" w:rsidRDefault="00C73E7E" w:rsidP="001B3CD1">
                  <w:pPr>
                    <w:spacing w:after="0" w:line="240" w:lineRule="auto"/>
                    <w:jc w:val="center"/>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20</w:t>
                  </w:r>
                  <w:r w:rsidR="00390D7B" w:rsidRPr="00B033E9">
                    <w:rPr>
                      <w:rFonts w:ascii="Times New Roman" w:eastAsia="Times New Roman" w:hAnsi="Times New Roman" w:cs="Times New Roman"/>
                      <w:b/>
                      <w:bCs/>
                      <w:color w:val="000000"/>
                      <w:sz w:val="24"/>
                      <w:szCs w:val="24"/>
                    </w:rPr>
                    <w:t>2</w:t>
                  </w:r>
                  <w:r w:rsidR="00293F92" w:rsidRPr="00B033E9">
                    <w:rPr>
                      <w:rFonts w:ascii="Times New Roman" w:eastAsia="Times New Roman" w:hAnsi="Times New Roman" w:cs="Times New Roman"/>
                      <w:b/>
                      <w:bCs/>
                      <w:color w:val="000000"/>
                      <w:sz w:val="24"/>
                      <w:szCs w:val="24"/>
                    </w:rPr>
                    <w:t>3</w:t>
                  </w:r>
                </w:p>
              </w:tc>
            </w:tr>
            <w:tr w:rsidR="004928DA" w:rsidRPr="00B033E9" w14:paraId="5DEFB6B3" w14:textId="77777777" w:rsidTr="00573FD9">
              <w:trPr>
                <w:trHeight w:val="300"/>
              </w:trPr>
              <w:tc>
                <w:tcPr>
                  <w:tcW w:w="3852" w:type="dxa"/>
                  <w:tcBorders>
                    <w:top w:val="nil"/>
                    <w:left w:val="nil"/>
                    <w:bottom w:val="nil"/>
                    <w:right w:val="nil"/>
                  </w:tcBorders>
                  <w:shd w:val="clear" w:color="auto" w:fill="auto"/>
                  <w:noWrap/>
                  <w:vAlign w:val="bottom"/>
                  <w:hideMark/>
                </w:tcPr>
                <w:p w14:paraId="1AC05E8D" w14:textId="77777777" w:rsidR="00C73E7E" w:rsidRPr="00B033E9" w:rsidRDefault="00C73E7E" w:rsidP="00C73E7E">
                  <w:pPr>
                    <w:spacing w:after="0" w:line="240" w:lineRule="auto"/>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Revenue:</w:t>
                  </w:r>
                </w:p>
              </w:tc>
              <w:tc>
                <w:tcPr>
                  <w:tcW w:w="1296" w:type="dxa"/>
                  <w:tcBorders>
                    <w:top w:val="nil"/>
                    <w:left w:val="nil"/>
                    <w:bottom w:val="nil"/>
                    <w:right w:val="nil"/>
                  </w:tcBorders>
                  <w:shd w:val="clear" w:color="auto" w:fill="auto"/>
                  <w:noWrap/>
                  <w:vAlign w:val="bottom"/>
                  <w:hideMark/>
                </w:tcPr>
                <w:p w14:paraId="60F805A3" w14:textId="77777777" w:rsidR="00C73E7E" w:rsidRPr="00B033E9" w:rsidRDefault="00C73E7E" w:rsidP="00C73E7E">
                  <w:pPr>
                    <w:spacing w:after="0" w:line="240" w:lineRule="auto"/>
                    <w:rPr>
                      <w:rFonts w:ascii="Times New Roman" w:eastAsia="Times New Roman" w:hAnsi="Times New Roman" w:cs="Times New Roman"/>
                      <w:b/>
                      <w:bCs/>
                      <w:color w:val="000000"/>
                      <w:sz w:val="24"/>
                      <w:szCs w:val="24"/>
                    </w:rPr>
                  </w:pPr>
                </w:p>
              </w:tc>
              <w:tc>
                <w:tcPr>
                  <w:tcW w:w="1296" w:type="dxa"/>
                  <w:tcBorders>
                    <w:top w:val="nil"/>
                    <w:left w:val="nil"/>
                    <w:bottom w:val="nil"/>
                    <w:right w:val="nil"/>
                  </w:tcBorders>
                  <w:shd w:val="clear" w:color="auto" w:fill="auto"/>
                  <w:noWrap/>
                  <w:vAlign w:val="bottom"/>
                  <w:hideMark/>
                </w:tcPr>
                <w:p w14:paraId="25FD23D2" w14:textId="77777777" w:rsidR="00C73E7E" w:rsidRPr="00B033E9" w:rsidRDefault="00C73E7E" w:rsidP="00C73E7E">
                  <w:pPr>
                    <w:spacing w:after="0" w:line="240" w:lineRule="auto"/>
                    <w:rPr>
                      <w:rFonts w:ascii="Times New Roman" w:eastAsia="Times New Roman" w:hAnsi="Times New Roman" w:cs="Times New Roman"/>
                      <w:sz w:val="24"/>
                      <w:szCs w:val="24"/>
                    </w:rPr>
                  </w:pPr>
                </w:p>
              </w:tc>
              <w:tc>
                <w:tcPr>
                  <w:tcW w:w="1296" w:type="dxa"/>
                  <w:tcBorders>
                    <w:top w:val="nil"/>
                    <w:left w:val="nil"/>
                    <w:bottom w:val="nil"/>
                    <w:right w:val="nil"/>
                  </w:tcBorders>
                  <w:shd w:val="clear" w:color="auto" w:fill="auto"/>
                  <w:noWrap/>
                  <w:vAlign w:val="bottom"/>
                  <w:hideMark/>
                </w:tcPr>
                <w:p w14:paraId="7B53EE73" w14:textId="77777777" w:rsidR="00C73E7E" w:rsidRPr="00B033E9" w:rsidRDefault="00C73E7E" w:rsidP="00C73E7E">
                  <w:pPr>
                    <w:spacing w:after="0" w:line="240" w:lineRule="auto"/>
                    <w:rPr>
                      <w:rFonts w:ascii="Times New Roman" w:eastAsia="Times New Roman" w:hAnsi="Times New Roman" w:cs="Times New Roman"/>
                      <w:sz w:val="24"/>
                      <w:szCs w:val="24"/>
                    </w:rPr>
                  </w:pPr>
                </w:p>
              </w:tc>
            </w:tr>
            <w:tr w:rsidR="004928DA" w:rsidRPr="00B033E9" w14:paraId="6CFE3438" w14:textId="77777777" w:rsidTr="00573FD9">
              <w:trPr>
                <w:trHeight w:val="300"/>
              </w:trPr>
              <w:tc>
                <w:tcPr>
                  <w:tcW w:w="3852" w:type="dxa"/>
                  <w:tcBorders>
                    <w:top w:val="nil"/>
                    <w:left w:val="nil"/>
                    <w:bottom w:val="nil"/>
                    <w:right w:val="nil"/>
                  </w:tcBorders>
                  <w:shd w:val="clear" w:color="auto" w:fill="auto"/>
                  <w:noWrap/>
                  <w:vAlign w:val="bottom"/>
                  <w:hideMark/>
                </w:tcPr>
                <w:p w14:paraId="5040D3DB" w14:textId="77777777" w:rsidR="00390D7B" w:rsidRPr="00B033E9" w:rsidRDefault="00390D7B" w:rsidP="00390D7B">
                  <w:pPr>
                    <w:spacing w:after="0" w:line="240" w:lineRule="auto"/>
                    <w:rPr>
                      <w:rFonts w:ascii="Times New Roman" w:eastAsia="Times New Roman" w:hAnsi="Times New Roman" w:cs="Times New Roman"/>
                      <w:color w:val="000000"/>
                      <w:sz w:val="24"/>
                      <w:szCs w:val="24"/>
                    </w:rPr>
                  </w:pPr>
                  <w:r w:rsidRPr="00B033E9">
                    <w:rPr>
                      <w:rFonts w:ascii="Times New Roman" w:eastAsia="Times New Roman" w:hAnsi="Times New Roman" w:cs="Times New Roman"/>
                      <w:color w:val="000000"/>
                      <w:sz w:val="24"/>
                      <w:szCs w:val="24"/>
                    </w:rPr>
                    <w:t>Gaming Revenue (Casino)</w:t>
                  </w:r>
                </w:p>
              </w:tc>
              <w:tc>
                <w:tcPr>
                  <w:tcW w:w="1296" w:type="dxa"/>
                  <w:tcBorders>
                    <w:top w:val="nil"/>
                    <w:left w:val="nil"/>
                    <w:bottom w:val="nil"/>
                    <w:right w:val="nil"/>
                  </w:tcBorders>
                  <w:shd w:val="clear" w:color="auto" w:fill="auto"/>
                  <w:noWrap/>
                  <w:vAlign w:val="bottom"/>
                  <w:hideMark/>
                </w:tcPr>
                <w:p w14:paraId="620C68CD" w14:textId="3289A814"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color w:val="000000"/>
                      <w:sz w:val="24"/>
                      <w:szCs w:val="24"/>
                    </w:rPr>
                    <w:t xml:space="preserve">   </w:t>
                  </w:r>
                  <w:r w:rsidR="00323EB9" w:rsidRPr="00B033E9">
                    <w:rPr>
                      <w:rFonts w:ascii="Times New Roman" w:eastAsia="Times New Roman" w:hAnsi="Times New Roman" w:cs="Times New Roman"/>
                      <w:color w:val="000000"/>
                      <w:sz w:val="24"/>
                      <w:szCs w:val="24"/>
                    </w:rPr>
                    <w:t>1</w:t>
                  </w:r>
                  <w:r w:rsidR="004F6CF5" w:rsidRPr="00B033E9">
                    <w:rPr>
                      <w:rFonts w:ascii="Times New Roman" w:eastAsia="Times New Roman" w:hAnsi="Times New Roman" w:cs="Times New Roman"/>
                      <w:color w:val="000000"/>
                      <w:sz w:val="24"/>
                      <w:szCs w:val="24"/>
                    </w:rPr>
                    <w:t>8</w:t>
                  </w:r>
                  <w:r w:rsidRPr="00B033E9">
                    <w:rPr>
                      <w:rFonts w:ascii="Times New Roman" w:eastAsia="Times New Roman" w:hAnsi="Times New Roman" w:cs="Times New Roman"/>
                      <w:color w:val="000000"/>
                      <w:sz w:val="24"/>
                      <w:szCs w:val="24"/>
                    </w:rPr>
                    <w:t>,</w:t>
                  </w:r>
                  <w:r w:rsidR="004F6CF5" w:rsidRPr="00B033E9">
                    <w:rPr>
                      <w:rFonts w:ascii="Times New Roman" w:eastAsia="Times New Roman" w:hAnsi="Times New Roman" w:cs="Times New Roman"/>
                      <w:color w:val="000000"/>
                      <w:sz w:val="24"/>
                      <w:szCs w:val="24"/>
                    </w:rPr>
                    <w:t>0</w:t>
                  </w:r>
                  <w:r w:rsidR="005A14BD" w:rsidRPr="00B033E9">
                    <w:rPr>
                      <w:rFonts w:ascii="Times New Roman" w:eastAsia="Times New Roman" w:hAnsi="Times New Roman" w:cs="Times New Roman"/>
                      <w:color w:val="000000"/>
                      <w:sz w:val="24"/>
                      <w:szCs w:val="24"/>
                    </w:rPr>
                    <w:t>00</w:t>
                  </w:r>
                  <w:r w:rsidRPr="00B033E9">
                    <w:rPr>
                      <w:rFonts w:ascii="Times New Roman" w:eastAsia="Times New Roman" w:hAnsi="Times New Roman" w:cs="Times New Roman"/>
                      <w:color w:val="000000"/>
                      <w:sz w:val="24"/>
                      <w:szCs w:val="24"/>
                    </w:rPr>
                    <w:t>,</w:t>
                  </w:r>
                  <w:r w:rsidR="006D1D81" w:rsidRPr="00B033E9">
                    <w:rPr>
                      <w:rFonts w:ascii="Times New Roman" w:eastAsia="Times New Roman" w:hAnsi="Times New Roman" w:cs="Times New Roman"/>
                      <w:color w:val="000000"/>
                      <w:sz w:val="24"/>
                      <w:szCs w:val="24"/>
                    </w:rPr>
                    <w:t>0</w:t>
                  </w:r>
                  <w:r w:rsidRPr="00B033E9">
                    <w:rPr>
                      <w:rFonts w:ascii="Times New Roman" w:eastAsia="Times New Roman" w:hAnsi="Times New Roman" w:cs="Times New Roman"/>
                      <w:color w:val="000000"/>
                      <w:sz w:val="24"/>
                      <w:szCs w:val="24"/>
                    </w:rPr>
                    <w:t xml:space="preserve">00 </w:t>
                  </w:r>
                </w:p>
              </w:tc>
              <w:tc>
                <w:tcPr>
                  <w:tcW w:w="1296" w:type="dxa"/>
                  <w:tcBorders>
                    <w:top w:val="nil"/>
                    <w:left w:val="nil"/>
                    <w:bottom w:val="nil"/>
                    <w:right w:val="nil"/>
                  </w:tcBorders>
                  <w:shd w:val="clear" w:color="auto" w:fill="auto"/>
                  <w:noWrap/>
                  <w:vAlign w:val="bottom"/>
                  <w:hideMark/>
                </w:tcPr>
                <w:p w14:paraId="111D5E10" w14:textId="6151D49C"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color w:val="000000"/>
                      <w:sz w:val="24"/>
                      <w:szCs w:val="24"/>
                    </w:rPr>
                    <w:t xml:space="preserve">   </w:t>
                  </w:r>
                  <w:r w:rsidR="005A14BD" w:rsidRPr="00B033E9">
                    <w:rPr>
                      <w:rFonts w:ascii="Times New Roman" w:eastAsia="Times New Roman" w:hAnsi="Times New Roman" w:cs="Times New Roman"/>
                      <w:color w:val="000000"/>
                      <w:sz w:val="24"/>
                      <w:szCs w:val="24"/>
                    </w:rPr>
                    <w:t>19</w:t>
                  </w:r>
                  <w:r w:rsidRPr="00B033E9">
                    <w:rPr>
                      <w:rFonts w:ascii="Times New Roman" w:eastAsia="Times New Roman" w:hAnsi="Times New Roman" w:cs="Times New Roman"/>
                      <w:color w:val="000000"/>
                      <w:sz w:val="24"/>
                      <w:szCs w:val="24"/>
                    </w:rPr>
                    <w:t>,</w:t>
                  </w:r>
                  <w:r w:rsidR="004F6CF5" w:rsidRPr="00B033E9">
                    <w:rPr>
                      <w:rFonts w:ascii="Times New Roman" w:eastAsia="Times New Roman" w:hAnsi="Times New Roman" w:cs="Times New Roman"/>
                      <w:color w:val="000000"/>
                      <w:sz w:val="24"/>
                      <w:szCs w:val="24"/>
                    </w:rPr>
                    <w:t>000</w:t>
                  </w:r>
                  <w:r w:rsidRPr="00B033E9">
                    <w:rPr>
                      <w:rFonts w:ascii="Times New Roman" w:eastAsia="Times New Roman" w:hAnsi="Times New Roman" w:cs="Times New Roman"/>
                      <w:color w:val="000000"/>
                      <w:sz w:val="24"/>
                      <w:szCs w:val="24"/>
                    </w:rPr>
                    <w:t>,</w:t>
                  </w:r>
                  <w:r w:rsidR="00094B68" w:rsidRPr="00B033E9">
                    <w:rPr>
                      <w:rFonts w:ascii="Times New Roman" w:eastAsia="Times New Roman" w:hAnsi="Times New Roman" w:cs="Times New Roman"/>
                      <w:color w:val="000000"/>
                      <w:sz w:val="24"/>
                      <w:szCs w:val="24"/>
                    </w:rPr>
                    <w:t>0</w:t>
                  </w:r>
                  <w:r w:rsidR="00A22912" w:rsidRPr="00B033E9">
                    <w:rPr>
                      <w:rFonts w:ascii="Times New Roman" w:eastAsia="Times New Roman" w:hAnsi="Times New Roman" w:cs="Times New Roman"/>
                      <w:color w:val="000000"/>
                      <w:sz w:val="24"/>
                      <w:szCs w:val="24"/>
                    </w:rPr>
                    <w:t>00</w:t>
                  </w:r>
                  <w:r w:rsidRPr="00B033E9">
                    <w:rPr>
                      <w:rFonts w:ascii="Times New Roman" w:eastAsia="Times New Roman" w:hAnsi="Times New Roman" w:cs="Times New Roman"/>
                      <w:color w:val="000000"/>
                      <w:sz w:val="24"/>
                      <w:szCs w:val="24"/>
                    </w:rPr>
                    <w:t xml:space="preserve"> </w:t>
                  </w:r>
                </w:p>
              </w:tc>
              <w:tc>
                <w:tcPr>
                  <w:tcW w:w="1296" w:type="dxa"/>
                  <w:tcBorders>
                    <w:top w:val="nil"/>
                    <w:left w:val="nil"/>
                    <w:bottom w:val="nil"/>
                    <w:right w:val="nil"/>
                  </w:tcBorders>
                  <w:shd w:val="clear" w:color="auto" w:fill="auto"/>
                  <w:noWrap/>
                  <w:vAlign w:val="bottom"/>
                  <w:hideMark/>
                </w:tcPr>
                <w:p w14:paraId="2EAE3A45" w14:textId="376F52E5"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color w:val="000000"/>
                      <w:sz w:val="24"/>
                      <w:szCs w:val="24"/>
                    </w:rPr>
                    <w:t xml:space="preserve">   </w:t>
                  </w:r>
                  <w:r w:rsidR="005A14BD" w:rsidRPr="00B033E9">
                    <w:rPr>
                      <w:rFonts w:ascii="Times New Roman" w:eastAsia="Times New Roman" w:hAnsi="Times New Roman" w:cs="Times New Roman"/>
                      <w:color w:val="000000"/>
                      <w:sz w:val="24"/>
                      <w:szCs w:val="24"/>
                    </w:rPr>
                    <w:t>19</w:t>
                  </w:r>
                  <w:r w:rsidRPr="00B033E9">
                    <w:rPr>
                      <w:rFonts w:ascii="Times New Roman" w:eastAsia="Times New Roman" w:hAnsi="Times New Roman" w:cs="Times New Roman"/>
                      <w:color w:val="000000"/>
                      <w:sz w:val="24"/>
                      <w:szCs w:val="24"/>
                    </w:rPr>
                    <w:t>,</w:t>
                  </w:r>
                  <w:r w:rsidR="004F6CF5" w:rsidRPr="00B033E9">
                    <w:rPr>
                      <w:rFonts w:ascii="Times New Roman" w:eastAsia="Times New Roman" w:hAnsi="Times New Roman" w:cs="Times New Roman"/>
                      <w:color w:val="000000"/>
                      <w:sz w:val="24"/>
                      <w:szCs w:val="24"/>
                    </w:rPr>
                    <w:t>950,000</w:t>
                  </w:r>
                  <w:r w:rsidRPr="00B033E9">
                    <w:rPr>
                      <w:rFonts w:ascii="Times New Roman" w:eastAsia="Times New Roman" w:hAnsi="Times New Roman" w:cs="Times New Roman"/>
                      <w:color w:val="000000"/>
                      <w:sz w:val="24"/>
                      <w:szCs w:val="24"/>
                    </w:rPr>
                    <w:t xml:space="preserve"> </w:t>
                  </w:r>
                </w:p>
              </w:tc>
            </w:tr>
            <w:tr w:rsidR="004928DA" w:rsidRPr="00B033E9" w14:paraId="6626166B" w14:textId="77777777" w:rsidTr="00573FD9">
              <w:trPr>
                <w:trHeight w:val="300"/>
              </w:trPr>
              <w:tc>
                <w:tcPr>
                  <w:tcW w:w="3852" w:type="dxa"/>
                  <w:tcBorders>
                    <w:top w:val="nil"/>
                    <w:left w:val="nil"/>
                    <w:bottom w:val="nil"/>
                    <w:right w:val="nil"/>
                  </w:tcBorders>
                  <w:shd w:val="clear" w:color="auto" w:fill="auto"/>
                  <w:noWrap/>
                  <w:vAlign w:val="bottom"/>
                  <w:hideMark/>
                </w:tcPr>
                <w:p w14:paraId="6F26294C" w14:textId="77777777" w:rsidR="00390D7B" w:rsidRPr="00B033E9" w:rsidRDefault="00390D7B" w:rsidP="00390D7B">
                  <w:pPr>
                    <w:spacing w:after="0" w:line="240" w:lineRule="auto"/>
                    <w:rPr>
                      <w:rFonts w:ascii="Times New Roman" w:eastAsia="Times New Roman" w:hAnsi="Times New Roman" w:cs="Times New Roman"/>
                      <w:color w:val="000000"/>
                      <w:sz w:val="24"/>
                      <w:szCs w:val="24"/>
                    </w:rPr>
                  </w:pPr>
                  <w:r w:rsidRPr="00B033E9">
                    <w:rPr>
                      <w:rFonts w:ascii="Times New Roman" w:eastAsia="Times New Roman" w:hAnsi="Times New Roman" w:cs="Times New Roman"/>
                      <w:color w:val="000000"/>
                      <w:sz w:val="24"/>
                      <w:szCs w:val="24"/>
                    </w:rPr>
                    <w:t>Gaming Revenue (Truck Stop)</w:t>
                  </w:r>
                </w:p>
              </w:tc>
              <w:tc>
                <w:tcPr>
                  <w:tcW w:w="1296" w:type="dxa"/>
                  <w:tcBorders>
                    <w:top w:val="nil"/>
                    <w:left w:val="nil"/>
                    <w:bottom w:val="nil"/>
                    <w:right w:val="nil"/>
                  </w:tcBorders>
                  <w:shd w:val="clear" w:color="auto" w:fill="auto"/>
                  <w:noWrap/>
                  <w:vAlign w:val="bottom"/>
                  <w:hideMark/>
                </w:tcPr>
                <w:p w14:paraId="260B4A9D" w14:textId="55A66CFD"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color w:val="000000"/>
                      <w:sz w:val="24"/>
                      <w:szCs w:val="24"/>
                    </w:rPr>
                    <w:t xml:space="preserve">   </w:t>
                  </w:r>
                  <w:r w:rsidR="00A20B47" w:rsidRPr="00B033E9">
                    <w:rPr>
                      <w:rFonts w:ascii="Times New Roman" w:eastAsia="Times New Roman" w:hAnsi="Times New Roman" w:cs="Times New Roman"/>
                      <w:color w:val="000000"/>
                      <w:sz w:val="24"/>
                      <w:szCs w:val="24"/>
                    </w:rPr>
                    <w:t>1,</w:t>
                  </w:r>
                  <w:r w:rsidR="004F6CF5" w:rsidRPr="00B033E9">
                    <w:rPr>
                      <w:rFonts w:ascii="Times New Roman" w:eastAsia="Times New Roman" w:hAnsi="Times New Roman" w:cs="Times New Roman"/>
                      <w:color w:val="000000"/>
                      <w:sz w:val="24"/>
                      <w:szCs w:val="24"/>
                    </w:rPr>
                    <w:t>5</w:t>
                  </w:r>
                  <w:r w:rsidR="004928DA">
                    <w:rPr>
                      <w:rFonts w:ascii="Times New Roman" w:eastAsia="Times New Roman" w:hAnsi="Times New Roman" w:cs="Times New Roman"/>
                      <w:color w:val="000000"/>
                      <w:sz w:val="24"/>
                      <w:szCs w:val="24"/>
                    </w:rPr>
                    <w:t>50</w:t>
                  </w:r>
                  <w:r w:rsidR="00A20B47" w:rsidRPr="00B033E9">
                    <w:rPr>
                      <w:rFonts w:ascii="Times New Roman" w:eastAsia="Times New Roman" w:hAnsi="Times New Roman" w:cs="Times New Roman"/>
                      <w:color w:val="000000"/>
                      <w:sz w:val="24"/>
                      <w:szCs w:val="24"/>
                    </w:rPr>
                    <w:t>,000</w:t>
                  </w:r>
                  <w:r w:rsidRPr="00B033E9">
                    <w:rPr>
                      <w:rFonts w:ascii="Times New Roman" w:eastAsia="Times New Roman" w:hAnsi="Times New Roman" w:cs="Times New Roman"/>
                      <w:color w:val="000000"/>
                      <w:sz w:val="24"/>
                      <w:szCs w:val="24"/>
                    </w:rPr>
                    <w:t xml:space="preserve">  </w:t>
                  </w:r>
                </w:p>
              </w:tc>
              <w:tc>
                <w:tcPr>
                  <w:tcW w:w="1296" w:type="dxa"/>
                  <w:tcBorders>
                    <w:top w:val="nil"/>
                    <w:left w:val="nil"/>
                    <w:bottom w:val="nil"/>
                    <w:right w:val="nil"/>
                  </w:tcBorders>
                  <w:shd w:val="clear" w:color="auto" w:fill="auto"/>
                  <w:noWrap/>
                  <w:vAlign w:val="bottom"/>
                  <w:hideMark/>
                </w:tcPr>
                <w:p w14:paraId="1A3A2235" w14:textId="4A6BC200"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color w:val="000000"/>
                      <w:sz w:val="24"/>
                      <w:szCs w:val="24"/>
                    </w:rPr>
                    <w:t xml:space="preserve">     1,</w:t>
                  </w:r>
                  <w:r w:rsidR="004F6CF5" w:rsidRPr="00B033E9">
                    <w:rPr>
                      <w:rFonts w:ascii="Times New Roman" w:eastAsia="Times New Roman" w:hAnsi="Times New Roman" w:cs="Times New Roman"/>
                      <w:color w:val="000000"/>
                      <w:sz w:val="24"/>
                      <w:szCs w:val="24"/>
                    </w:rPr>
                    <w:t>5</w:t>
                  </w:r>
                  <w:r w:rsidR="004928DA">
                    <w:rPr>
                      <w:rFonts w:ascii="Times New Roman" w:eastAsia="Times New Roman" w:hAnsi="Times New Roman" w:cs="Times New Roman"/>
                      <w:color w:val="000000"/>
                      <w:sz w:val="24"/>
                      <w:szCs w:val="24"/>
                    </w:rPr>
                    <w:t>65</w:t>
                  </w:r>
                  <w:r w:rsidRPr="00B033E9">
                    <w:rPr>
                      <w:rFonts w:ascii="Times New Roman" w:eastAsia="Times New Roman" w:hAnsi="Times New Roman" w:cs="Times New Roman"/>
                      <w:color w:val="000000"/>
                      <w:sz w:val="24"/>
                      <w:szCs w:val="24"/>
                    </w:rPr>
                    <w:t>,</w:t>
                  </w:r>
                  <w:r w:rsidR="004928DA">
                    <w:rPr>
                      <w:rFonts w:ascii="Times New Roman" w:eastAsia="Times New Roman" w:hAnsi="Times New Roman" w:cs="Times New Roman"/>
                      <w:color w:val="000000"/>
                      <w:sz w:val="24"/>
                      <w:szCs w:val="24"/>
                    </w:rPr>
                    <w:t>50</w:t>
                  </w:r>
                  <w:r w:rsidR="004F6CF5" w:rsidRPr="00B033E9">
                    <w:rPr>
                      <w:rFonts w:ascii="Times New Roman" w:eastAsia="Times New Roman" w:hAnsi="Times New Roman" w:cs="Times New Roman"/>
                      <w:color w:val="000000"/>
                      <w:sz w:val="24"/>
                      <w:szCs w:val="24"/>
                    </w:rPr>
                    <w:t>0</w:t>
                  </w:r>
                  <w:r w:rsidRPr="00B033E9">
                    <w:rPr>
                      <w:rFonts w:ascii="Times New Roman" w:eastAsia="Times New Roman" w:hAnsi="Times New Roman" w:cs="Times New Roman"/>
                      <w:color w:val="000000"/>
                      <w:sz w:val="24"/>
                      <w:szCs w:val="24"/>
                    </w:rPr>
                    <w:t xml:space="preserve"> </w:t>
                  </w:r>
                </w:p>
              </w:tc>
              <w:tc>
                <w:tcPr>
                  <w:tcW w:w="1296" w:type="dxa"/>
                  <w:tcBorders>
                    <w:top w:val="nil"/>
                    <w:left w:val="nil"/>
                    <w:bottom w:val="nil"/>
                    <w:right w:val="nil"/>
                  </w:tcBorders>
                  <w:shd w:val="clear" w:color="auto" w:fill="auto"/>
                  <w:noWrap/>
                  <w:vAlign w:val="bottom"/>
                  <w:hideMark/>
                </w:tcPr>
                <w:p w14:paraId="433F156F" w14:textId="62F46E9D"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color w:val="000000"/>
                      <w:sz w:val="24"/>
                      <w:szCs w:val="24"/>
                    </w:rPr>
                    <w:t xml:space="preserve">     1,</w:t>
                  </w:r>
                  <w:r w:rsidR="004F6CF5" w:rsidRPr="00B033E9">
                    <w:rPr>
                      <w:rFonts w:ascii="Times New Roman" w:eastAsia="Times New Roman" w:hAnsi="Times New Roman" w:cs="Times New Roman"/>
                      <w:color w:val="000000"/>
                      <w:sz w:val="24"/>
                      <w:szCs w:val="24"/>
                    </w:rPr>
                    <w:t>5</w:t>
                  </w:r>
                  <w:r w:rsidR="004928DA">
                    <w:rPr>
                      <w:rFonts w:ascii="Times New Roman" w:eastAsia="Times New Roman" w:hAnsi="Times New Roman" w:cs="Times New Roman"/>
                      <w:color w:val="000000"/>
                      <w:sz w:val="24"/>
                      <w:szCs w:val="24"/>
                    </w:rPr>
                    <w:t>81</w:t>
                  </w:r>
                  <w:r w:rsidRPr="00B033E9">
                    <w:rPr>
                      <w:rFonts w:ascii="Times New Roman" w:eastAsia="Times New Roman" w:hAnsi="Times New Roman" w:cs="Times New Roman"/>
                      <w:color w:val="000000"/>
                      <w:sz w:val="24"/>
                      <w:szCs w:val="24"/>
                    </w:rPr>
                    <w:t>,</w:t>
                  </w:r>
                  <w:r w:rsidR="004928DA">
                    <w:rPr>
                      <w:rFonts w:ascii="Times New Roman" w:eastAsia="Times New Roman" w:hAnsi="Times New Roman" w:cs="Times New Roman"/>
                      <w:color w:val="000000"/>
                      <w:sz w:val="24"/>
                      <w:szCs w:val="24"/>
                    </w:rPr>
                    <w:t>155</w:t>
                  </w:r>
                  <w:r w:rsidRPr="00B033E9">
                    <w:rPr>
                      <w:rFonts w:ascii="Times New Roman" w:eastAsia="Times New Roman" w:hAnsi="Times New Roman" w:cs="Times New Roman"/>
                      <w:color w:val="000000"/>
                      <w:sz w:val="24"/>
                      <w:szCs w:val="24"/>
                    </w:rPr>
                    <w:t xml:space="preserve"> </w:t>
                  </w:r>
                </w:p>
              </w:tc>
            </w:tr>
            <w:tr w:rsidR="004928DA" w:rsidRPr="00B033E9" w14:paraId="74AE071F" w14:textId="77777777" w:rsidTr="00573FD9">
              <w:trPr>
                <w:trHeight w:val="300"/>
              </w:trPr>
              <w:tc>
                <w:tcPr>
                  <w:tcW w:w="3852" w:type="dxa"/>
                  <w:tcBorders>
                    <w:top w:val="nil"/>
                    <w:left w:val="nil"/>
                    <w:bottom w:val="nil"/>
                    <w:right w:val="nil"/>
                  </w:tcBorders>
                  <w:shd w:val="clear" w:color="auto" w:fill="auto"/>
                  <w:noWrap/>
                  <w:vAlign w:val="bottom"/>
                  <w:hideMark/>
                </w:tcPr>
                <w:p w14:paraId="5E36F191" w14:textId="77777777" w:rsidR="00390D7B" w:rsidRPr="00B033E9" w:rsidRDefault="00390D7B" w:rsidP="00390D7B">
                  <w:pPr>
                    <w:spacing w:after="0" w:line="240" w:lineRule="auto"/>
                    <w:rPr>
                      <w:rFonts w:ascii="Times New Roman" w:eastAsia="Times New Roman" w:hAnsi="Times New Roman" w:cs="Times New Roman"/>
                      <w:color w:val="000000"/>
                      <w:sz w:val="24"/>
                      <w:szCs w:val="24"/>
                    </w:rPr>
                  </w:pPr>
                  <w:r w:rsidRPr="00B033E9">
                    <w:rPr>
                      <w:rFonts w:ascii="Times New Roman" w:eastAsia="Times New Roman" w:hAnsi="Times New Roman" w:cs="Times New Roman"/>
                      <w:color w:val="000000"/>
                      <w:sz w:val="24"/>
                      <w:szCs w:val="24"/>
                    </w:rPr>
                    <w:t>F&amp;B Revenue (Casino)</w:t>
                  </w:r>
                </w:p>
              </w:tc>
              <w:tc>
                <w:tcPr>
                  <w:tcW w:w="1296" w:type="dxa"/>
                  <w:tcBorders>
                    <w:top w:val="nil"/>
                    <w:left w:val="nil"/>
                    <w:bottom w:val="nil"/>
                    <w:right w:val="nil"/>
                  </w:tcBorders>
                  <w:shd w:val="clear" w:color="auto" w:fill="auto"/>
                  <w:noWrap/>
                  <w:vAlign w:val="bottom"/>
                  <w:hideMark/>
                </w:tcPr>
                <w:p w14:paraId="7CDE3AB0" w14:textId="5657BE87"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color w:val="000000"/>
                      <w:sz w:val="24"/>
                      <w:szCs w:val="24"/>
                    </w:rPr>
                    <w:t xml:space="preserve">     </w:t>
                  </w:r>
                  <w:r w:rsidR="005A14BD" w:rsidRPr="00B033E9">
                    <w:rPr>
                      <w:rFonts w:ascii="Times New Roman" w:eastAsia="Times New Roman" w:hAnsi="Times New Roman" w:cs="Times New Roman"/>
                      <w:color w:val="000000"/>
                      <w:sz w:val="24"/>
                      <w:szCs w:val="24"/>
                    </w:rPr>
                    <w:t>1</w:t>
                  </w:r>
                  <w:r w:rsidRPr="00B033E9">
                    <w:rPr>
                      <w:rFonts w:ascii="Times New Roman" w:eastAsia="Times New Roman" w:hAnsi="Times New Roman" w:cs="Times New Roman"/>
                      <w:color w:val="000000"/>
                      <w:sz w:val="24"/>
                      <w:szCs w:val="24"/>
                    </w:rPr>
                    <w:t>,</w:t>
                  </w:r>
                  <w:r w:rsidR="005A14BD" w:rsidRPr="00B033E9">
                    <w:rPr>
                      <w:rFonts w:ascii="Times New Roman" w:eastAsia="Times New Roman" w:hAnsi="Times New Roman" w:cs="Times New Roman"/>
                      <w:color w:val="000000"/>
                      <w:sz w:val="24"/>
                      <w:szCs w:val="24"/>
                    </w:rPr>
                    <w:t>6</w:t>
                  </w:r>
                  <w:r w:rsidR="004F6CF5" w:rsidRPr="00B033E9">
                    <w:rPr>
                      <w:rFonts w:ascii="Times New Roman" w:eastAsia="Times New Roman" w:hAnsi="Times New Roman" w:cs="Times New Roman"/>
                      <w:color w:val="000000"/>
                      <w:sz w:val="24"/>
                      <w:szCs w:val="24"/>
                    </w:rPr>
                    <w:t>0</w:t>
                  </w:r>
                  <w:r w:rsidR="005A14BD" w:rsidRPr="00B033E9">
                    <w:rPr>
                      <w:rFonts w:ascii="Times New Roman" w:eastAsia="Times New Roman" w:hAnsi="Times New Roman" w:cs="Times New Roman"/>
                      <w:color w:val="000000"/>
                      <w:sz w:val="24"/>
                      <w:szCs w:val="24"/>
                    </w:rPr>
                    <w:t>0</w:t>
                  </w:r>
                  <w:r w:rsidRPr="00B033E9">
                    <w:rPr>
                      <w:rFonts w:ascii="Times New Roman" w:eastAsia="Times New Roman" w:hAnsi="Times New Roman" w:cs="Times New Roman"/>
                      <w:color w:val="000000"/>
                      <w:sz w:val="24"/>
                      <w:szCs w:val="24"/>
                    </w:rPr>
                    <w:t xml:space="preserve">,000 </w:t>
                  </w:r>
                </w:p>
              </w:tc>
              <w:tc>
                <w:tcPr>
                  <w:tcW w:w="1296" w:type="dxa"/>
                  <w:tcBorders>
                    <w:top w:val="nil"/>
                    <w:left w:val="nil"/>
                    <w:bottom w:val="nil"/>
                    <w:right w:val="nil"/>
                  </w:tcBorders>
                  <w:shd w:val="clear" w:color="auto" w:fill="auto"/>
                  <w:noWrap/>
                  <w:vAlign w:val="bottom"/>
                  <w:hideMark/>
                </w:tcPr>
                <w:p w14:paraId="747E6B2B" w14:textId="118C1246"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color w:val="000000"/>
                      <w:sz w:val="24"/>
                      <w:szCs w:val="24"/>
                    </w:rPr>
                    <w:t xml:space="preserve">     </w:t>
                  </w:r>
                  <w:r w:rsidR="005A14BD" w:rsidRPr="00B033E9">
                    <w:rPr>
                      <w:rFonts w:ascii="Times New Roman" w:eastAsia="Times New Roman" w:hAnsi="Times New Roman" w:cs="Times New Roman"/>
                      <w:color w:val="000000"/>
                      <w:sz w:val="24"/>
                      <w:szCs w:val="24"/>
                    </w:rPr>
                    <w:t>1,6</w:t>
                  </w:r>
                  <w:r w:rsidR="004F6CF5" w:rsidRPr="00B033E9">
                    <w:rPr>
                      <w:rFonts w:ascii="Times New Roman" w:eastAsia="Times New Roman" w:hAnsi="Times New Roman" w:cs="Times New Roman"/>
                      <w:color w:val="000000"/>
                      <w:sz w:val="24"/>
                      <w:szCs w:val="24"/>
                    </w:rPr>
                    <w:t>1</w:t>
                  </w:r>
                  <w:r w:rsidR="005A14BD" w:rsidRPr="00B033E9">
                    <w:rPr>
                      <w:rFonts w:ascii="Times New Roman" w:eastAsia="Times New Roman" w:hAnsi="Times New Roman" w:cs="Times New Roman"/>
                      <w:color w:val="000000"/>
                      <w:sz w:val="24"/>
                      <w:szCs w:val="24"/>
                    </w:rPr>
                    <w:t>6,</w:t>
                  </w:r>
                  <w:r w:rsidR="004F6CF5" w:rsidRPr="00B033E9">
                    <w:rPr>
                      <w:rFonts w:ascii="Times New Roman" w:eastAsia="Times New Roman" w:hAnsi="Times New Roman" w:cs="Times New Roman"/>
                      <w:color w:val="000000"/>
                      <w:sz w:val="24"/>
                      <w:szCs w:val="24"/>
                    </w:rPr>
                    <w:t>0</w:t>
                  </w:r>
                  <w:r w:rsidR="005A14BD" w:rsidRPr="00B033E9">
                    <w:rPr>
                      <w:rFonts w:ascii="Times New Roman" w:eastAsia="Times New Roman" w:hAnsi="Times New Roman" w:cs="Times New Roman"/>
                      <w:color w:val="000000"/>
                      <w:sz w:val="24"/>
                      <w:szCs w:val="24"/>
                    </w:rPr>
                    <w:t>00</w:t>
                  </w:r>
                  <w:r w:rsidRPr="00B033E9">
                    <w:rPr>
                      <w:rFonts w:ascii="Times New Roman" w:eastAsia="Times New Roman" w:hAnsi="Times New Roman" w:cs="Times New Roman"/>
                      <w:color w:val="000000"/>
                      <w:sz w:val="24"/>
                      <w:szCs w:val="24"/>
                    </w:rPr>
                    <w:t xml:space="preserve"> </w:t>
                  </w:r>
                </w:p>
              </w:tc>
              <w:tc>
                <w:tcPr>
                  <w:tcW w:w="1296" w:type="dxa"/>
                  <w:tcBorders>
                    <w:top w:val="nil"/>
                    <w:left w:val="nil"/>
                    <w:bottom w:val="nil"/>
                    <w:right w:val="nil"/>
                  </w:tcBorders>
                  <w:shd w:val="clear" w:color="auto" w:fill="auto"/>
                  <w:noWrap/>
                  <w:vAlign w:val="bottom"/>
                  <w:hideMark/>
                </w:tcPr>
                <w:p w14:paraId="30E24CEE" w14:textId="782BD157"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color w:val="000000"/>
                      <w:sz w:val="24"/>
                      <w:szCs w:val="24"/>
                    </w:rPr>
                    <w:t xml:space="preserve">     </w:t>
                  </w:r>
                  <w:r w:rsidR="005A14BD" w:rsidRPr="00B033E9">
                    <w:rPr>
                      <w:rFonts w:ascii="Times New Roman" w:eastAsia="Times New Roman" w:hAnsi="Times New Roman" w:cs="Times New Roman"/>
                      <w:color w:val="000000"/>
                      <w:sz w:val="24"/>
                      <w:szCs w:val="24"/>
                    </w:rPr>
                    <w:t>1</w:t>
                  </w:r>
                  <w:r w:rsidRPr="00B033E9">
                    <w:rPr>
                      <w:rFonts w:ascii="Times New Roman" w:eastAsia="Times New Roman" w:hAnsi="Times New Roman" w:cs="Times New Roman"/>
                      <w:color w:val="000000"/>
                      <w:sz w:val="24"/>
                      <w:szCs w:val="24"/>
                    </w:rPr>
                    <w:t>,</w:t>
                  </w:r>
                  <w:r w:rsidR="005A14BD" w:rsidRPr="00B033E9">
                    <w:rPr>
                      <w:rFonts w:ascii="Times New Roman" w:eastAsia="Times New Roman" w:hAnsi="Times New Roman" w:cs="Times New Roman"/>
                      <w:color w:val="000000"/>
                      <w:sz w:val="24"/>
                      <w:szCs w:val="24"/>
                    </w:rPr>
                    <w:t>6</w:t>
                  </w:r>
                  <w:r w:rsidR="004F6CF5" w:rsidRPr="00B033E9">
                    <w:rPr>
                      <w:rFonts w:ascii="Times New Roman" w:eastAsia="Times New Roman" w:hAnsi="Times New Roman" w:cs="Times New Roman"/>
                      <w:color w:val="000000"/>
                      <w:sz w:val="24"/>
                      <w:szCs w:val="24"/>
                    </w:rPr>
                    <w:t>32</w:t>
                  </w:r>
                  <w:r w:rsidRPr="00B033E9">
                    <w:rPr>
                      <w:rFonts w:ascii="Times New Roman" w:eastAsia="Times New Roman" w:hAnsi="Times New Roman" w:cs="Times New Roman"/>
                      <w:color w:val="000000"/>
                      <w:sz w:val="24"/>
                      <w:szCs w:val="24"/>
                    </w:rPr>
                    <w:t>,</w:t>
                  </w:r>
                  <w:r w:rsidR="005A14BD" w:rsidRPr="00B033E9">
                    <w:rPr>
                      <w:rFonts w:ascii="Times New Roman" w:eastAsia="Times New Roman" w:hAnsi="Times New Roman" w:cs="Times New Roman"/>
                      <w:color w:val="000000"/>
                      <w:sz w:val="24"/>
                      <w:szCs w:val="24"/>
                    </w:rPr>
                    <w:t>16</w:t>
                  </w:r>
                  <w:r w:rsidR="004F6CF5" w:rsidRPr="00B033E9">
                    <w:rPr>
                      <w:rFonts w:ascii="Times New Roman" w:eastAsia="Times New Roman" w:hAnsi="Times New Roman" w:cs="Times New Roman"/>
                      <w:color w:val="000000"/>
                      <w:sz w:val="24"/>
                      <w:szCs w:val="24"/>
                    </w:rPr>
                    <w:t>0</w:t>
                  </w:r>
                  <w:r w:rsidRPr="00B033E9">
                    <w:rPr>
                      <w:rFonts w:ascii="Times New Roman" w:eastAsia="Times New Roman" w:hAnsi="Times New Roman" w:cs="Times New Roman"/>
                      <w:color w:val="000000"/>
                      <w:sz w:val="24"/>
                      <w:szCs w:val="24"/>
                    </w:rPr>
                    <w:t xml:space="preserve"> </w:t>
                  </w:r>
                </w:p>
              </w:tc>
            </w:tr>
            <w:tr w:rsidR="004928DA" w:rsidRPr="00B033E9" w14:paraId="43FF3822" w14:textId="77777777" w:rsidTr="00573FD9">
              <w:trPr>
                <w:trHeight w:val="300"/>
              </w:trPr>
              <w:tc>
                <w:tcPr>
                  <w:tcW w:w="3852" w:type="dxa"/>
                  <w:tcBorders>
                    <w:top w:val="nil"/>
                    <w:left w:val="nil"/>
                    <w:bottom w:val="nil"/>
                    <w:right w:val="nil"/>
                  </w:tcBorders>
                  <w:shd w:val="clear" w:color="auto" w:fill="auto"/>
                  <w:noWrap/>
                  <w:vAlign w:val="bottom"/>
                  <w:hideMark/>
                </w:tcPr>
                <w:p w14:paraId="53542719" w14:textId="77777777" w:rsidR="00390D7B" w:rsidRPr="00B033E9" w:rsidRDefault="00390D7B" w:rsidP="00390D7B">
                  <w:pPr>
                    <w:spacing w:after="0" w:line="240" w:lineRule="auto"/>
                    <w:rPr>
                      <w:rFonts w:ascii="Times New Roman" w:eastAsia="Times New Roman" w:hAnsi="Times New Roman" w:cs="Times New Roman"/>
                      <w:color w:val="000000"/>
                      <w:sz w:val="24"/>
                      <w:szCs w:val="24"/>
                    </w:rPr>
                  </w:pPr>
                  <w:r w:rsidRPr="00B033E9">
                    <w:rPr>
                      <w:rFonts w:ascii="Times New Roman" w:eastAsia="Times New Roman" w:hAnsi="Times New Roman" w:cs="Times New Roman"/>
                      <w:color w:val="000000"/>
                      <w:sz w:val="24"/>
                      <w:szCs w:val="24"/>
                    </w:rPr>
                    <w:t>Truck Stop (net of gas)</w:t>
                  </w:r>
                </w:p>
              </w:tc>
              <w:tc>
                <w:tcPr>
                  <w:tcW w:w="1296" w:type="dxa"/>
                  <w:tcBorders>
                    <w:top w:val="nil"/>
                    <w:left w:val="nil"/>
                    <w:bottom w:val="nil"/>
                    <w:right w:val="nil"/>
                  </w:tcBorders>
                  <w:shd w:val="clear" w:color="auto" w:fill="auto"/>
                  <w:noWrap/>
                  <w:vAlign w:val="bottom"/>
                  <w:hideMark/>
                </w:tcPr>
                <w:p w14:paraId="5E6CC737" w14:textId="34ACF6DA"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color w:val="000000"/>
                      <w:sz w:val="24"/>
                      <w:szCs w:val="24"/>
                    </w:rPr>
                    <w:t xml:space="preserve">     </w:t>
                  </w:r>
                  <w:r w:rsidR="005A14BD" w:rsidRPr="00B033E9">
                    <w:rPr>
                      <w:rFonts w:ascii="Times New Roman" w:eastAsia="Times New Roman" w:hAnsi="Times New Roman" w:cs="Times New Roman"/>
                      <w:color w:val="000000"/>
                      <w:sz w:val="24"/>
                      <w:szCs w:val="24"/>
                    </w:rPr>
                    <w:t>2</w:t>
                  </w:r>
                  <w:r w:rsidRPr="00B033E9">
                    <w:rPr>
                      <w:rFonts w:ascii="Times New Roman" w:eastAsia="Times New Roman" w:hAnsi="Times New Roman" w:cs="Times New Roman"/>
                      <w:color w:val="000000"/>
                      <w:sz w:val="24"/>
                      <w:szCs w:val="24"/>
                    </w:rPr>
                    <w:t>,</w:t>
                  </w:r>
                  <w:r w:rsidR="004F6CF5" w:rsidRPr="00B033E9">
                    <w:rPr>
                      <w:rFonts w:ascii="Times New Roman" w:eastAsia="Times New Roman" w:hAnsi="Times New Roman" w:cs="Times New Roman"/>
                      <w:color w:val="000000"/>
                      <w:sz w:val="24"/>
                      <w:szCs w:val="24"/>
                    </w:rPr>
                    <w:t>750</w:t>
                  </w:r>
                  <w:r w:rsidRPr="00B033E9">
                    <w:rPr>
                      <w:rFonts w:ascii="Times New Roman" w:eastAsia="Times New Roman" w:hAnsi="Times New Roman" w:cs="Times New Roman"/>
                      <w:color w:val="000000"/>
                      <w:sz w:val="24"/>
                      <w:szCs w:val="24"/>
                    </w:rPr>
                    <w:t xml:space="preserve">,000 </w:t>
                  </w:r>
                </w:p>
              </w:tc>
              <w:tc>
                <w:tcPr>
                  <w:tcW w:w="1296" w:type="dxa"/>
                  <w:tcBorders>
                    <w:top w:val="nil"/>
                    <w:left w:val="nil"/>
                    <w:bottom w:val="nil"/>
                    <w:right w:val="nil"/>
                  </w:tcBorders>
                  <w:shd w:val="clear" w:color="auto" w:fill="auto"/>
                  <w:noWrap/>
                  <w:vAlign w:val="bottom"/>
                  <w:hideMark/>
                </w:tcPr>
                <w:p w14:paraId="0E2380B8" w14:textId="273FD76C"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color w:val="000000"/>
                      <w:sz w:val="24"/>
                      <w:szCs w:val="24"/>
                    </w:rPr>
                    <w:t xml:space="preserve">     </w:t>
                  </w:r>
                  <w:r w:rsidR="005A14BD" w:rsidRPr="00B033E9">
                    <w:rPr>
                      <w:rFonts w:ascii="Times New Roman" w:eastAsia="Times New Roman" w:hAnsi="Times New Roman" w:cs="Times New Roman"/>
                      <w:color w:val="000000"/>
                      <w:sz w:val="24"/>
                      <w:szCs w:val="24"/>
                    </w:rPr>
                    <w:t>2</w:t>
                  </w:r>
                  <w:r w:rsidRPr="00B033E9">
                    <w:rPr>
                      <w:rFonts w:ascii="Times New Roman" w:eastAsia="Times New Roman" w:hAnsi="Times New Roman" w:cs="Times New Roman"/>
                      <w:color w:val="000000"/>
                      <w:sz w:val="24"/>
                      <w:szCs w:val="24"/>
                    </w:rPr>
                    <w:t>,</w:t>
                  </w:r>
                  <w:r w:rsidR="004F6CF5" w:rsidRPr="00B033E9">
                    <w:rPr>
                      <w:rFonts w:ascii="Times New Roman" w:eastAsia="Times New Roman" w:hAnsi="Times New Roman" w:cs="Times New Roman"/>
                      <w:color w:val="000000"/>
                      <w:sz w:val="24"/>
                      <w:szCs w:val="24"/>
                    </w:rPr>
                    <w:t>777</w:t>
                  </w:r>
                  <w:r w:rsidRPr="00B033E9">
                    <w:rPr>
                      <w:rFonts w:ascii="Times New Roman" w:eastAsia="Times New Roman" w:hAnsi="Times New Roman" w:cs="Times New Roman"/>
                      <w:color w:val="000000"/>
                      <w:sz w:val="24"/>
                      <w:szCs w:val="24"/>
                    </w:rPr>
                    <w:t>,</w:t>
                  </w:r>
                  <w:r w:rsidR="004F6CF5" w:rsidRPr="00B033E9">
                    <w:rPr>
                      <w:rFonts w:ascii="Times New Roman" w:eastAsia="Times New Roman" w:hAnsi="Times New Roman" w:cs="Times New Roman"/>
                      <w:color w:val="000000"/>
                      <w:sz w:val="24"/>
                      <w:szCs w:val="24"/>
                    </w:rPr>
                    <w:t>5</w:t>
                  </w:r>
                  <w:r w:rsidR="005A14BD" w:rsidRPr="00B033E9">
                    <w:rPr>
                      <w:rFonts w:ascii="Times New Roman" w:eastAsia="Times New Roman" w:hAnsi="Times New Roman" w:cs="Times New Roman"/>
                      <w:color w:val="000000"/>
                      <w:sz w:val="24"/>
                      <w:szCs w:val="24"/>
                    </w:rPr>
                    <w:t>0</w:t>
                  </w:r>
                  <w:r w:rsidRPr="00B033E9">
                    <w:rPr>
                      <w:rFonts w:ascii="Times New Roman" w:eastAsia="Times New Roman" w:hAnsi="Times New Roman" w:cs="Times New Roman"/>
                      <w:color w:val="000000"/>
                      <w:sz w:val="24"/>
                      <w:szCs w:val="24"/>
                    </w:rPr>
                    <w:t xml:space="preserve">0 </w:t>
                  </w:r>
                </w:p>
              </w:tc>
              <w:tc>
                <w:tcPr>
                  <w:tcW w:w="1296" w:type="dxa"/>
                  <w:tcBorders>
                    <w:top w:val="nil"/>
                    <w:left w:val="nil"/>
                    <w:bottom w:val="nil"/>
                    <w:right w:val="nil"/>
                  </w:tcBorders>
                  <w:shd w:val="clear" w:color="auto" w:fill="auto"/>
                  <w:noWrap/>
                  <w:vAlign w:val="bottom"/>
                  <w:hideMark/>
                </w:tcPr>
                <w:p w14:paraId="030DD05D" w14:textId="7D808273"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color w:val="000000"/>
                      <w:sz w:val="24"/>
                      <w:szCs w:val="24"/>
                    </w:rPr>
                    <w:t xml:space="preserve">     </w:t>
                  </w:r>
                  <w:r w:rsidR="005A14BD" w:rsidRPr="00B033E9">
                    <w:rPr>
                      <w:rFonts w:ascii="Times New Roman" w:eastAsia="Times New Roman" w:hAnsi="Times New Roman" w:cs="Times New Roman"/>
                      <w:color w:val="000000"/>
                      <w:sz w:val="24"/>
                      <w:szCs w:val="24"/>
                    </w:rPr>
                    <w:t>2</w:t>
                  </w:r>
                  <w:r w:rsidRPr="00B033E9">
                    <w:rPr>
                      <w:rFonts w:ascii="Times New Roman" w:eastAsia="Times New Roman" w:hAnsi="Times New Roman" w:cs="Times New Roman"/>
                      <w:color w:val="000000"/>
                      <w:sz w:val="24"/>
                      <w:szCs w:val="24"/>
                    </w:rPr>
                    <w:t>,</w:t>
                  </w:r>
                  <w:r w:rsidR="004F6CF5" w:rsidRPr="00B033E9">
                    <w:rPr>
                      <w:rFonts w:ascii="Times New Roman" w:eastAsia="Times New Roman" w:hAnsi="Times New Roman" w:cs="Times New Roman"/>
                      <w:color w:val="000000"/>
                      <w:sz w:val="24"/>
                      <w:szCs w:val="24"/>
                    </w:rPr>
                    <w:t>805</w:t>
                  </w:r>
                  <w:r w:rsidRPr="00B033E9">
                    <w:rPr>
                      <w:rFonts w:ascii="Times New Roman" w:eastAsia="Times New Roman" w:hAnsi="Times New Roman" w:cs="Times New Roman"/>
                      <w:color w:val="000000"/>
                      <w:sz w:val="24"/>
                      <w:szCs w:val="24"/>
                    </w:rPr>
                    <w:t>,</w:t>
                  </w:r>
                  <w:r w:rsidR="004F6CF5" w:rsidRPr="00B033E9">
                    <w:rPr>
                      <w:rFonts w:ascii="Times New Roman" w:eastAsia="Times New Roman" w:hAnsi="Times New Roman" w:cs="Times New Roman"/>
                      <w:color w:val="000000"/>
                      <w:sz w:val="24"/>
                      <w:szCs w:val="24"/>
                    </w:rPr>
                    <w:t>275</w:t>
                  </w:r>
                  <w:r w:rsidRPr="00B033E9">
                    <w:rPr>
                      <w:rFonts w:ascii="Times New Roman" w:eastAsia="Times New Roman" w:hAnsi="Times New Roman" w:cs="Times New Roman"/>
                      <w:color w:val="000000"/>
                      <w:sz w:val="24"/>
                      <w:szCs w:val="24"/>
                    </w:rPr>
                    <w:t xml:space="preserve"> </w:t>
                  </w:r>
                </w:p>
              </w:tc>
            </w:tr>
            <w:tr w:rsidR="004928DA" w:rsidRPr="00B033E9" w14:paraId="6B48C933" w14:textId="77777777" w:rsidTr="00573FD9">
              <w:trPr>
                <w:trHeight w:val="300"/>
              </w:trPr>
              <w:tc>
                <w:tcPr>
                  <w:tcW w:w="3852" w:type="dxa"/>
                  <w:tcBorders>
                    <w:top w:val="nil"/>
                    <w:left w:val="nil"/>
                    <w:bottom w:val="nil"/>
                    <w:right w:val="nil"/>
                  </w:tcBorders>
                  <w:shd w:val="clear" w:color="auto" w:fill="auto"/>
                  <w:noWrap/>
                  <w:vAlign w:val="bottom"/>
                  <w:hideMark/>
                </w:tcPr>
                <w:p w14:paraId="31193A9C" w14:textId="77777777" w:rsidR="00390D7B" w:rsidRPr="00B033E9" w:rsidRDefault="00390D7B" w:rsidP="00390D7B">
                  <w:pPr>
                    <w:spacing w:after="0" w:line="240" w:lineRule="auto"/>
                    <w:rPr>
                      <w:rFonts w:ascii="Times New Roman" w:eastAsia="Times New Roman" w:hAnsi="Times New Roman" w:cs="Times New Roman"/>
                      <w:color w:val="000000"/>
                      <w:sz w:val="24"/>
                      <w:szCs w:val="24"/>
                    </w:rPr>
                  </w:pPr>
                  <w:r w:rsidRPr="00B033E9">
                    <w:rPr>
                      <w:rFonts w:ascii="Times New Roman" w:eastAsia="Times New Roman" w:hAnsi="Times New Roman" w:cs="Times New Roman"/>
                      <w:color w:val="000000"/>
                      <w:sz w:val="24"/>
                      <w:szCs w:val="24"/>
                    </w:rPr>
                    <w:t>Other Revenue</w:t>
                  </w:r>
                </w:p>
              </w:tc>
              <w:tc>
                <w:tcPr>
                  <w:tcW w:w="1296" w:type="dxa"/>
                  <w:tcBorders>
                    <w:top w:val="nil"/>
                    <w:left w:val="nil"/>
                    <w:bottom w:val="single" w:sz="4" w:space="0" w:color="auto"/>
                    <w:right w:val="nil"/>
                  </w:tcBorders>
                  <w:shd w:val="clear" w:color="auto" w:fill="auto"/>
                  <w:noWrap/>
                  <w:vAlign w:val="bottom"/>
                  <w:hideMark/>
                </w:tcPr>
                <w:p w14:paraId="2FEA3D60" w14:textId="28955C26"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color w:val="000000"/>
                      <w:sz w:val="24"/>
                      <w:szCs w:val="24"/>
                    </w:rPr>
                    <w:t xml:space="preserve">         </w:t>
                  </w:r>
                  <w:r w:rsidR="004F6CF5" w:rsidRPr="00B033E9">
                    <w:rPr>
                      <w:rFonts w:ascii="Times New Roman" w:eastAsia="Times New Roman" w:hAnsi="Times New Roman" w:cs="Times New Roman"/>
                      <w:color w:val="000000"/>
                      <w:sz w:val="24"/>
                      <w:szCs w:val="24"/>
                    </w:rPr>
                    <w:t>3</w:t>
                  </w:r>
                  <w:r w:rsidR="004928DA">
                    <w:rPr>
                      <w:rFonts w:ascii="Times New Roman" w:eastAsia="Times New Roman" w:hAnsi="Times New Roman" w:cs="Times New Roman"/>
                      <w:color w:val="000000"/>
                      <w:sz w:val="24"/>
                      <w:szCs w:val="24"/>
                    </w:rPr>
                    <w:t>75</w:t>
                  </w:r>
                  <w:r w:rsidRPr="00B033E9">
                    <w:rPr>
                      <w:rFonts w:ascii="Times New Roman" w:eastAsia="Times New Roman" w:hAnsi="Times New Roman" w:cs="Times New Roman"/>
                      <w:color w:val="000000"/>
                      <w:sz w:val="24"/>
                      <w:szCs w:val="24"/>
                    </w:rPr>
                    <w:t>,</w:t>
                  </w:r>
                  <w:r w:rsidR="006D1D81" w:rsidRPr="00B033E9">
                    <w:rPr>
                      <w:rFonts w:ascii="Times New Roman" w:eastAsia="Times New Roman" w:hAnsi="Times New Roman" w:cs="Times New Roman"/>
                      <w:color w:val="000000"/>
                      <w:sz w:val="24"/>
                      <w:szCs w:val="24"/>
                    </w:rPr>
                    <w:t>000</w:t>
                  </w:r>
                  <w:r w:rsidRPr="00B033E9">
                    <w:rPr>
                      <w:rFonts w:ascii="Times New Roman" w:eastAsia="Times New Roman" w:hAnsi="Times New Roman" w:cs="Times New Roman"/>
                      <w:color w:val="000000"/>
                      <w:sz w:val="24"/>
                      <w:szCs w:val="24"/>
                    </w:rPr>
                    <w:t xml:space="preserve"> </w:t>
                  </w:r>
                </w:p>
              </w:tc>
              <w:tc>
                <w:tcPr>
                  <w:tcW w:w="1296" w:type="dxa"/>
                  <w:tcBorders>
                    <w:top w:val="nil"/>
                    <w:left w:val="nil"/>
                    <w:bottom w:val="single" w:sz="4" w:space="0" w:color="auto"/>
                    <w:right w:val="nil"/>
                  </w:tcBorders>
                  <w:shd w:val="clear" w:color="auto" w:fill="auto"/>
                  <w:noWrap/>
                  <w:vAlign w:val="bottom"/>
                  <w:hideMark/>
                </w:tcPr>
                <w:p w14:paraId="48416963" w14:textId="046E5E15"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color w:val="000000"/>
                      <w:sz w:val="24"/>
                      <w:szCs w:val="24"/>
                    </w:rPr>
                    <w:t xml:space="preserve">         </w:t>
                  </w:r>
                  <w:r w:rsidR="004F6CF5" w:rsidRPr="00B033E9">
                    <w:rPr>
                      <w:rFonts w:ascii="Times New Roman" w:eastAsia="Times New Roman" w:hAnsi="Times New Roman" w:cs="Times New Roman"/>
                      <w:color w:val="000000"/>
                      <w:sz w:val="24"/>
                      <w:szCs w:val="24"/>
                    </w:rPr>
                    <w:t>3</w:t>
                  </w:r>
                  <w:r w:rsidR="004928DA">
                    <w:rPr>
                      <w:rFonts w:ascii="Times New Roman" w:eastAsia="Times New Roman" w:hAnsi="Times New Roman" w:cs="Times New Roman"/>
                      <w:color w:val="000000"/>
                      <w:sz w:val="24"/>
                      <w:szCs w:val="24"/>
                    </w:rPr>
                    <w:t>78</w:t>
                  </w:r>
                  <w:r w:rsidRPr="00B033E9">
                    <w:rPr>
                      <w:rFonts w:ascii="Times New Roman" w:eastAsia="Times New Roman" w:hAnsi="Times New Roman" w:cs="Times New Roman"/>
                      <w:color w:val="000000"/>
                      <w:sz w:val="24"/>
                      <w:szCs w:val="24"/>
                    </w:rPr>
                    <w:t>,</w:t>
                  </w:r>
                  <w:r w:rsidR="004928DA">
                    <w:rPr>
                      <w:rFonts w:ascii="Times New Roman" w:eastAsia="Times New Roman" w:hAnsi="Times New Roman" w:cs="Times New Roman"/>
                      <w:color w:val="000000"/>
                      <w:sz w:val="24"/>
                      <w:szCs w:val="24"/>
                    </w:rPr>
                    <w:t>750</w:t>
                  </w:r>
                  <w:r w:rsidRPr="00B033E9">
                    <w:rPr>
                      <w:rFonts w:ascii="Times New Roman" w:eastAsia="Times New Roman" w:hAnsi="Times New Roman" w:cs="Times New Roman"/>
                      <w:color w:val="000000"/>
                      <w:sz w:val="24"/>
                      <w:szCs w:val="24"/>
                    </w:rPr>
                    <w:t xml:space="preserve"> </w:t>
                  </w:r>
                </w:p>
              </w:tc>
              <w:tc>
                <w:tcPr>
                  <w:tcW w:w="1296" w:type="dxa"/>
                  <w:tcBorders>
                    <w:top w:val="nil"/>
                    <w:left w:val="nil"/>
                    <w:bottom w:val="single" w:sz="4" w:space="0" w:color="auto"/>
                    <w:right w:val="nil"/>
                  </w:tcBorders>
                  <w:shd w:val="clear" w:color="auto" w:fill="auto"/>
                  <w:noWrap/>
                  <w:vAlign w:val="bottom"/>
                  <w:hideMark/>
                </w:tcPr>
                <w:p w14:paraId="1074C8D2" w14:textId="5B1FA4BD"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color w:val="000000"/>
                      <w:sz w:val="24"/>
                      <w:szCs w:val="24"/>
                    </w:rPr>
                    <w:t xml:space="preserve">         </w:t>
                  </w:r>
                  <w:r w:rsidR="004F6CF5" w:rsidRPr="00B033E9">
                    <w:rPr>
                      <w:rFonts w:ascii="Times New Roman" w:eastAsia="Times New Roman" w:hAnsi="Times New Roman" w:cs="Times New Roman"/>
                      <w:color w:val="000000"/>
                      <w:sz w:val="24"/>
                      <w:szCs w:val="24"/>
                    </w:rPr>
                    <w:t>3</w:t>
                  </w:r>
                  <w:r w:rsidR="004928DA">
                    <w:rPr>
                      <w:rFonts w:ascii="Times New Roman" w:eastAsia="Times New Roman" w:hAnsi="Times New Roman" w:cs="Times New Roman"/>
                      <w:color w:val="000000"/>
                      <w:sz w:val="24"/>
                      <w:szCs w:val="24"/>
                    </w:rPr>
                    <w:t>82</w:t>
                  </w:r>
                  <w:r w:rsidR="00A22912" w:rsidRPr="00B033E9">
                    <w:rPr>
                      <w:rFonts w:ascii="Times New Roman" w:eastAsia="Times New Roman" w:hAnsi="Times New Roman" w:cs="Times New Roman"/>
                      <w:color w:val="000000"/>
                      <w:sz w:val="24"/>
                      <w:szCs w:val="24"/>
                    </w:rPr>
                    <w:t>,</w:t>
                  </w:r>
                  <w:r w:rsidR="004928DA">
                    <w:rPr>
                      <w:rFonts w:ascii="Times New Roman" w:eastAsia="Times New Roman" w:hAnsi="Times New Roman" w:cs="Times New Roman"/>
                      <w:color w:val="000000"/>
                      <w:sz w:val="24"/>
                      <w:szCs w:val="24"/>
                    </w:rPr>
                    <w:t>538</w:t>
                  </w:r>
                  <w:r w:rsidRPr="00B033E9">
                    <w:rPr>
                      <w:rFonts w:ascii="Times New Roman" w:eastAsia="Times New Roman" w:hAnsi="Times New Roman" w:cs="Times New Roman"/>
                      <w:color w:val="000000"/>
                      <w:sz w:val="24"/>
                      <w:szCs w:val="24"/>
                    </w:rPr>
                    <w:t xml:space="preserve"> </w:t>
                  </w:r>
                </w:p>
              </w:tc>
            </w:tr>
            <w:tr w:rsidR="004928DA" w:rsidRPr="00B033E9" w14:paraId="017D67DB" w14:textId="77777777" w:rsidTr="00573FD9">
              <w:trPr>
                <w:trHeight w:val="300"/>
              </w:trPr>
              <w:tc>
                <w:tcPr>
                  <w:tcW w:w="3852" w:type="dxa"/>
                  <w:tcBorders>
                    <w:top w:val="nil"/>
                    <w:left w:val="nil"/>
                    <w:bottom w:val="nil"/>
                    <w:right w:val="nil"/>
                  </w:tcBorders>
                  <w:shd w:val="clear" w:color="auto" w:fill="auto"/>
                  <w:noWrap/>
                  <w:vAlign w:val="bottom"/>
                  <w:hideMark/>
                </w:tcPr>
                <w:p w14:paraId="625B8A1C" w14:textId="77777777" w:rsidR="00390D7B" w:rsidRPr="00B033E9" w:rsidRDefault="00390D7B" w:rsidP="00390D7B">
                  <w:pPr>
                    <w:spacing w:after="0" w:line="240" w:lineRule="auto"/>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Total Revenue</w:t>
                  </w:r>
                </w:p>
              </w:tc>
              <w:tc>
                <w:tcPr>
                  <w:tcW w:w="1296" w:type="dxa"/>
                  <w:tcBorders>
                    <w:top w:val="nil"/>
                    <w:left w:val="nil"/>
                    <w:bottom w:val="nil"/>
                    <w:right w:val="nil"/>
                  </w:tcBorders>
                  <w:shd w:val="clear" w:color="auto" w:fill="auto"/>
                  <w:noWrap/>
                  <w:vAlign w:val="bottom"/>
                  <w:hideMark/>
                </w:tcPr>
                <w:p w14:paraId="6CCE3341" w14:textId="41646A93" w:rsidR="00390D7B" w:rsidRPr="00B033E9" w:rsidRDefault="00390D7B" w:rsidP="00390D7B">
                  <w:pPr>
                    <w:spacing w:after="0" w:line="240" w:lineRule="auto"/>
                    <w:jc w:val="right"/>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 xml:space="preserve">   2</w:t>
                  </w:r>
                  <w:r w:rsidR="004F6CF5" w:rsidRPr="00B033E9">
                    <w:rPr>
                      <w:rFonts w:ascii="Times New Roman" w:eastAsia="Times New Roman" w:hAnsi="Times New Roman" w:cs="Times New Roman"/>
                      <w:b/>
                      <w:bCs/>
                      <w:color w:val="000000"/>
                      <w:sz w:val="24"/>
                      <w:szCs w:val="24"/>
                    </w:rPr>
                    <w:t>4</w:t>
                  </w:r>
                  <w:r w:rsidRPr="00B033E9">
                    <w:rPr>
                      <w:rFonts w:ascii="Times New Roman" w:eastAsia="Times New Roman" w:hAnsi="Times New Roman" w:cs="Times New Roman"/>
                      <w:b/>
                      <w:bCs/>
                      <w:color w:val="000000"/>
                      <w:sz w:val="24"/>
                      <w:szCs w:val="24"/>
                    </w:rPr>
                    <w:t>,</w:t>
                  </w:r>
                  <w:r w:rsidR="004F6CF5" w:rsidRPr="00B033E9">
                    <w:rPr>
                      <w:rFonts w:ascii="Times New Roman" w:eastAsia="Times New Roman" w:hAnsi="Times New Roman" w:cs="Times New Roman"/>
                      <w:b/>
                      <w:bCs/>
                      <w:color w:val="000000"/>
                      <w:sz w:val="24"/>
                      <w:szCs w:val="24"/>
                    </w:rPr>
                    <w:t>2</w:t>
                  </w:r>
                  <w:r w:rsidR="004928DA">
                    <w:rPr>
                      <w:rFonts w:ascii="Times New Roman" w:eastAsia="Times New Roman" w:hAnsi="Times New Roman" w:cs="Times New Roman"/>
                      <w:b/>
                      <w:bCs/>
                      <w:color w:val="000000"/>
                      <w:sz w:val="24"/>
                      <w:szCs w:val="24"/>
                    </w:rPr>
                    <w:t>75</w:t>
                  </w:r>
                  <w:r w:rsidRPr="00B033E9">
                    <w:rPr>
                      <w:rFonts w:ascii="Times New Roman" w:eastAsia="Times New Roman" w:hAnsi="Times New Roman" w:cs="Times New Roman"/>
                      <w:b/>
                      <w:bCs/>
                      <w:color w:val="000000"/>
                      <w:sz w:val="24"/>
                      <w:szCs w:val="24"/>
                    </w:rPr>
                    <w:t>,</w:t>
                  </w:r>
                  <w:r w:rsidR="006D1D81" w:rsidRPr="00B033E9">
                    <w:rPr>
                      <w:rFonts w:ascii="Times New Roman" w:eastAsia="Times New Roman" w:hAnsi="Times New Roman" w:cs="Times New Roman"/>
                      <w:b/>
                      <w:bCs/>
                      <w:color w:val="000000"/>
                      <w:sz w:val="24"/>
                      <w:szCs w:val="24"/>
                    </w:rPr>
                    <w:t>0</w:t>
                  </w:r>
                  <w:r w:rsidRPr="00B033E9">
                    <w:rPr>
                      <w:rFonts w:ascii="Times New Roman" w:eastAsia="Times New Roman" w:hAnsi="Times New Roman" w:cs="Times New Roman"/>
                      <w:b/>
                      <w:bCs/>
                      <w:color w:val="000000"/>
                      <w:sz w:val="24"/>
                      <w:szCs w:val="24"/>
                    </w:rPr>
                    <w:t xml:space="preserve">00 </w:t>
                  </w:r>
                </w:p>
              </w:tc>
              <w:tc>
                <w:tcPr>
                  <w:tcW w:w="1296" w:type="dxa"/>
                  <w:tcBorders>
                    <w:top w:val="nil"/>
                    <w:left w:val="nil"/>
                    <w:bottom w:val="nil"/>
                    <w:right w:val="nil"/>
                  </w:tcBorders>
                  <w:shd w:val="clear" w:color="auto" w:fill="auto"/>
                  <w:noWrap/>
                  <w:vAlign w:val="bottom"/>
                  <w:hideMark/>
                </w:tcPr>
                <w:p w14:paraId="3D9131B6" w14:textId="1041059B" w:rsidR="00390D7B" w:rsidRPr="00B033E9" w:rsidRDefault="00390D7B" w:rsidP="00390D7B">
                  <w:pPr>
                    <w:spacing w:after="0" w:line="240" w:lineRule="auto"/>
                    <w:jc w:val="right"/>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 xml:space="preserve">   2</w:t>
                  </w:r>
                  <w:r w:rsidR="00A20B47" w:rsidRPr="00B033E9">
                    <w:rPr>
                      <w:rFonts w:ascii="Times New Roman" w:eastAsia="Times New Roman" w:hAnsi="Times New Roman" w:cs="Times New Roman"/>
                      <w:b/>
                      <w:bCs/>
                      <w:color w:val="000000"/>
                      <w:sz w:val="24"/>
                      <w:szCs w:val="24"/>
                    </w:rPr>
                    <w:t>5,</w:t>
                  </w:r>
                  <w:r w:rsidR="004928DA">
                    <w:rPr>
                      <w:rFonts w:ascii="Times New Roman" w:eastAsia="Times New Roman" w:hAnsi="Times New Roman" w:cs="Times New Roman"/>
                      <w:b/>
                      <w:bCs/>
                      <w:color w:val="000000"/>
                      <w:sz w:val="24"/>
                      <w:szCs w:val="24"/>
                    </w:rPr>
                    <w:t>337</w:t>
                  </w:r>
                  <w:r w:rsidRPr="00B033E9">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7</w:t>
                  </w:r>
                  <w:r w:rsidR="004F6CF5" w:rsidRPr="00B033E9">
                    <w:rPr>
                      <w:rFonts w:ascii="Times New Roman" w:eastAsia="Times New Roman" w:hAnsi="Times New Roman" w:cs="Times New Roman"/>
                      <w:b/>
                      <w:bCs/>
                      <w:color w:val="000000"/>
                      <w:sz w:val="24"/>
                      <w:szCs w:val="24"/>
                    </w:rPr>
                    <w:t>50</w:t>
                  </w:r>
                  <w:r w:rsidRPr="00B033E9">
                    <w:rPr>
                      <w:rFonts w:ascii="Times New Roman" w:eastAsia="Times New Roman" w:hAnsi="Times New Roman" w:cs="Times New Roman"/>
                      <w:b/>
                      <w:bCs/>
                      <w:color w:val="000000"/>
                      <w:sz w:val="24"/>
                      <w:szCs w:val="24"/>
                    </w:rPr>
                    <w:t xml:space="preserve"> </w:t>
                  </w:r>
                </w:p>
              </w:tc>
              <w:tc>
                <w:tcPr>
                  <w:tcW w:w="1296" w:type="dxa"/>
                  <w:tcBorders>
                    <w:top w:val="nil"/>
                    <w:left w:val="nil"/>
                    <w:bottom w:val="nil"/>
                    <w:right w:val="nil"/>
                  </w:tcBorders>
                  <w:shd w:val="clear" w:color="auto" w:fill="auto"/>
                  <w:noWrap/>
                  <w:vAlign w:val="bottom"/>
                  <w:hideMark/>
                </w:tcPr>
                <w:p w14:paraId="062CD894" w14:textId="1EA9A29D" w:rsidR="00390D7B" w:rsidRPr="00B033E9" w:rsidRDefault="00390D7B" w:rsidP="00390D7B">
                  <w:pPr>
                    <w:spacing w:after="0" w:line="240" w:lineRule="auto"/>
                    <w:jc w:val="right"/>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 xml:space="preserve">   2</w:t>
                  </w:r>
                  <w:r w:rsidR="004F6CF5" w:rsidRPr="00B033E9">
                    <w:rPr>
                      <w:rFonts w:ascii="Times New Roman" w:eastAsia="Times New Roman" w:hAnsi="Times New Roman" w:cs="Times New Roman"/>
                      <w:b/>
                      <w:bCs/>
                      <w:color w:val="000000"/>
                      <w:sz w:val="24"/>
                      <w:szCs w:val="24"/>
                    </w:rPr>
                    <w:t>6</w:t>
                  </w:r>
                  <w:r w:rsidRPr="00B033E9">
                    <w:rPr>
                      <w:rFonts w:ascii="Times New Roman" w:eastAsia="Times New Roman" w:hAnsi="Times New Roman" w:cs="Times New Roman"/>
                      <w:b/>
                      <w:bCs/>
                      <w:color w:val="000000"/>
                      <w:sz w:val="24"/>
                      <w:szCs w:val="24"/>
                    </w:rPr>
                    <w:t>,</w:t>
                  </w:r>
                  <w:r w:rsidR="004F6CF5" w:rsidRPr="00B033E9">
                    <w:rPr>
                      <w:rFonts w:ascii="Times New Roman" w:eastAsia="Times New Roman" w:hAnsi="Times New Roman" w:cs="Times New Roman"/>
                      <w:b/>
                      <w:bCs/>
                      <w:color w:val="000000"/>
                      <w:sz w:val="24"/>
                      <w:szCs w:val="24"/>
                    </w:rPr>
                    <w:t>3</w:t>
                  </w:r>
                  <w:r w:rsidR="004928DA">
                    <w:rPr>
                      <w:rFonts w:ascii="Times New Roman" w:eastAsia="Times New Roman" w:hAnsi="Times New Roman" w:cs="Times New Roman"/>
                      <w:b/>
                      <w:bCs/>
                      <w:color w:val="000000"/>
                      <w:sz w:val="24"/>
                      <w:szCs w:val="24"/>
                    </w:rPr>
                    <w:t>51</w:t>
                  </w:r>
                  <w:r w:rsidR="00A20B47" w:rsidRPr="00B033E9">
                    <w:rPr>
                      <w:rFonts w:ascii="Times New Roman" w:eastAsia="Times New Roman" w:hAnsi="Times New Roman" w:cs="Times New Roman"/>
                      <w:b/>
                      <w:bCs/>
                      <w:color w:val="000000"/>
                      <w:sz w:val="24"/>
                      <w:szCs w:val="24"/>
                    </w:rPr>
                    <w:t>,</w:t>
                  </w:r>
                  <w:r w:rsidR="004F6CF5" w:rsidRPr="00B033E9">
                    <w:rPr>
                      <w:rFonts w:ascii="Times New Roman" w:eastAsia="Times New Roman" w:hAnsi="Times New Roman" w:cs="Times New Roman"/>
                      <w:b/>
                      <w:bCs/>
                      <w:color w:val="000000"/>
                      <w:sz w:val="24"/>
                      <w:szCs w:val="24"/>
                    </w:rPr>
                    <w:t>12</w:t>
                  </w:r>
                  <w:r w:rsidR="004928DA">
                    <w:rPr>
                      <w:rFonts w:ascii="Times New Roman" w:eastAsia="Times New Roman" w:hAnsi="Times New Roman" w:cs="Times New Roman"/>
                      <w:b/>
                      <w:bCs/>
                      <w:color w:val="000000"/>
                      <w:sz w:val="24"/>
                      <w:szCs w:val="24"/>
                    </w:rPr>
                    <w:t>8</w:t>
                  </w:r>
                  <w:r w:rsidRPr="00B033E9">
                    <w:rPr>
                      <w:rFonts w:ascii="Times New Roman" w:eastAsia="Times New Roman" w:hAnsi="Times New Roman" w:cs="Times New Roman"/>
                      <w:b/>
                      <w:bCs/>
                      <w:color w:val="000000"/>
                      <w:sz w:val="24"/>
                      <w:szCs w:val="24"/>
                    </w:rPr>
                    <w:t xml:space="preserve"> </w:t>
                  </w:r>
                </w:p>
              </w:tc>
            </w:tr>
            <w:tr w:rsidR="004928DA" w:rsidRPr="00B033E9" w14:paraId="400F5B6E" w14:textId="77777777" w:rsidTr="00573FD9">
              <w:trPr>
                <w:trHeight w:val="300"/>
              </w:trPr>
              <w:tc>
                <w:tcPr>
                  <w:tcW w:w="3852" w:type="dxa"/>
                  <w:tcBorders>
                    <w:top w:val="nil"/>
                    <w:left w:val="nil"/>
                    <w:bottom w:val="nil"/>
                    <w:right w:val="nil"/>
                  </w:tcBorders>
                  <w:shd w:val="clear" w:color="auto" w:fill="auto"/>
                  <w:noWrap/>
                  <w:vAlign w:val="bottom"/>
                  <w:hideMark/>
                </w:tcPr>
                <w:p w14:paraId="4305F7FA" w14:textId="77777777" w:rsidR="00390D7B" w:rsidRPr="00B033E9" w:rsidRDefault="00390D7B" w:rsidP="00390D7B">
                  <w:pPr>
                    <w:spacing w:after="0" w:line="240" w:lineRule="auto"/>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Total Other Operating Expenses</w:t>
                  </w:r>
                </w:p>
              </w:tc>
              <w:tc>
                <w:tcPr>
                  <w:tcW w:w="1296" w:type="dxa"/>
                  <w:tcBorders>
                    <w:top w:val="single" w:sz="4" w:space="0" w:color="auto"/>
                    <w:left w:val="nil"/>
                    <w:bottom w:val="single" w:sz="4" w:space="0" w:color="auto"/>
                    <w:right w:val="nil"/>
                  </w:tcBorders>
                  <w:shd w:val="clear" w:color="auto" w:fill="auto"/>
                  <w:noWrap/>
                  <w:vAlign w:val="bottom"/>
                  <w:hideMark/>
                </w:tcPr>
                <w:p w14:paraId="57070D3C" w14:textId="2DB56C4B" w:rsidR="00390D7B" w:rsidRPr="00B033E9" w:rsidRDefault="00390D7B" w:rsidP="00390D7B">
                  <w:pPr>
                    <w:spacing w:after="0" w:line="240" w:lineRule="auto"/>
                    <w:jc w:val="right"/>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 xml:space="preserve">   1</w:t>
                  </w:r>
                  <w:r w:rsidR="00A20B47" w:rsidRPr="00B033E9">
                    <w:rPr>
                      <w:rFonts w:ascii="Times New Roman" w:eastAsia="Times New Roman" w:hAnsi="Times New Roman" w:cs="Times New Roman"/>
                      <w:b/>
                      <w:bCs/>
                      <w:color w:val="000000"/>
                      <w:sz w:val="24"/>
                      <w:szCs w:val="24"/>
                    </w:rPr>
                    <w:t>7</w:t>
                  </w:r>
                  <w:r w:rsidRPr="00B033E9">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235</w:t>
                  </w:r>
                  <w:r w:rsidRPr="00B033E9">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250</w:t>
                  </w:r>
                  <w:r w:rsidRPr="00B033E9">
                    <w:rPr>
                      <w:rFonts w:ascii="Times New Roman" w:eastAsia="Times New Roman" w:hAnsi="Times New Roman" w:cs="Times New Roman"/>
                      <w:b/>
                      <w:bCs/>
                      <w:color w:val="000000"/>
                      <w:sz w:val="24"/>
                      <w:szCs w:val="24"/>
                    </w:rPr>
                    <w:t xml:space="preserve"> </w:t>
                  </w:r>
                </w:p>
              </w:tc>
              <w:tc>
                <w:tcPr>
                  <w:tcW w:w="1296" w:type="dxa"/>
                  <w:tcBorders>
                    <w:top w:val="single" w:sz="4" w:space="0" w:color="auto"/>
                    <w:left w:val="nil"/>
                    <w:bottom w:val="single" w:sz="4" w:space="0" w:color="auto"/>
                    <w:right w:val="nil"/>
                  </w:tcBorders>
                  <w:shd w:val="clear" w:color="auto" w:fill="auto"/>
                  <w:noWrap/>
                  <w:vAlign w:val="bottom"/>
                  <w:hideMark/>
                </w:tcPr>
                <w:p w14:paraId="44938CD1" w14:textId="634D62E4" w:rsidR="00390D7B" w:rsidRPr="00B033E9" w:rsidRDefault="00390D7B" w:rsidP="00390D7B">
                  <w:pPr>
                    <w:spacing w:after="0" w:line="240" w:lineRule="auto"/>
                    <w:jc w:val="right"/>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 xml:space="preserve">   1</w:t>
                  </w:r>
                  <w:r w:rsidR="00B033E9" w:rsidRPr="00B033E9">
                    <w:rPr>
                      <w:rFonts w:ascii="Times New Roman" w:eastAsia="Times New Roman" w:hAnsi="Times New Roman" w:cs="Times New Roman"/>
                      <w:b/>
                      <w:bCs/>
                      <w:color w:val="000000"/>
                      <w:sz w:val="24"/>
                      <w:szCs w:val="24"/>
                    </w:rPr>
                    <w:t>8</w:t>
                  </w:r>
                  <w:r w:rsidRPr="00B033E9">
                    <w:rPr>
                      <w:rFonts w:ascii="Times New Roman" w:eastAsia="Times New Roman" w:hAnsi="Times New Roman" w:cs="Times New Roman"/>
                      <w:b/>
                      <w:bCs/>
                      <w:color w:val="000000"/>
                      <w:sz w:val="24"/>
                      <w:szCs w:val="24"/>
                    </w:rPr>
                    <w:t>,</w:t>
                  </w:r>
                  <w:r w:rsidR="00B033E9" w:rsidRPr="00B033E9">
                    <w:rPr>
                      <w:rFonts w:ascii="Times New Roman" w:eastAsia="Times New Roman" w:hAnsi="Times New Roman" w:cs="Times New Roman"/>
                      <w:b/>
                      <w:bCs/>
                      <w:color w:val="000000"/>
                      <w:sz w:val="24"/>
                      <w:szCs w:val="24"/>
                    </w:rPr>
                    <w:t>2</w:t>
                  </w:r>
                  <w:r w:rsidR="004928DA">
                    <w:rPr>
                      <w:rFonts w:ascii="Times New Roman" w:eastAsia="Times New Roman" w:hAnsi="Times New Roman" w:cs="Times New Roman"/>
                      <w:b/>
                      <w:bCs/>
                      <w:color w:val="000000"/>
                      <w:sz w:val="24"/>
                      <w:szCs w:val="24"/>
                    </w:rPr>
                    <w:t>43</w:t>
                  </w:r>
                  <w:r w:rsidR="00A20B47" w:rsidRPr="00B033E9">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18</w:t>
                  </w:r>
                  <w:r w:rsidR="00B033E9" w:rsidRPr="00B033E9">
                    <w:rPr>
                      <w:rFonts w:ascii="Times New Roman" w:eastAsia="Times New Roman" w:hAnsi="Times New Roman" w:cs="Times New Roman"/>
                      <w:b/>
                      <w:bCs/>
                      <w:color w:val="000000"/>
                      <w:sz w:val="24"/>
                      <w:szCs w:val="24"/>
                    </w:rPr>
                    <w:t>0</w:t>
                  </w:r>
                  <w:r w:rsidRPr="00B033E9">
                    <w:rPr>
                      <w:rFonts w:ascii="Times New Roman" w:eastAsia="Times New Roman" w:hAnsi="Times New Roman" w:cs="Times New Roman"/>
                      <w:b/>
                      <w:bCs/>
                      <w:color w:val="000000"/>
                      <w:sz w:val="24"/>
                      <w:szCs w:val="24"/>
                    </w:rPr>
                    <w:t xml:space="preserve"> </w:t>
                  </w:r>
                </w:p>
              </w:tc>
              <w:tc>
                <w:tcPr>
                  <w:tcW w:w="1296" w:type="dxa"/>
                  <w:tcBorders>
                    <w:top w:val="single" w:sz="4" w:space="0" w:color="auto"/>
                    <w:left w:val="nil"/>
                    <w:bottom w:val="single" w:sz="4" w:space="0" w:color="auto"/>
                    <w:right w:val="nil"/>
                  </w:tcBorders>
                  <w:shd w:val="clear" w:color="auto" w:fill="auto"/>
                  <w:noWrap/>
                  <w:vAlign w:val="bottom"/>
                  <w:hideMark/>
                </w:tcPr>
                <w:p w14:paraId="6B8DF57B" w14:textId="0392DB25" w:rsidR="00390D7B" w:rsidRPr="00B033E9" w:rsidRDefault="00390D7B" w:rsidP="00390D7B">
                  <w:pPr>
                    <w:spacing w:after="0" w:line="240" w:lineRule="auto"/>
                    <w:jc w:val="right"/>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 xml:space="preserve">   1</w:t>
                  </w:r>
                  <w:r w:rsidR="00B033E9" w:rsidRPr="00B033E9">
                    <w:rPr>
                      <w:rFonts w:ascii="Times New Roman" w:eastAsia="Times New Roman" w:hAnsi="Times New Roman" w:cs="Times New Roman"/>
                      <w:b/>
                      <w:bCs/>
                      <w:color w:val="000000"/>
                      <w:sz w:val="24"/>
                      <w:szCs w:val="24"/>
                    </w:rPr>
                    <w:t>8</w:t>
                  </w:r>
                  <w:r w:rsidRPr="00B033E9">
                    <w:rPr>
                      <w:rFonts w:ascii="Times New Roman" w:eastAsia="Times New Roman" w:hAnsi="Times New Roman" w:cs="Times New Roman"/>
                      <w:b/>
                      <w:bCs/>
                      <w:color w:val="000000"/>
                      <w:sz w:val="24"/>
                      <w:szCs w:val="24"/>
                    </w:rPr>
                    <w:t>,</w:t>
                  </w:r>
                  <w:r w:rsidR="00B033E9" w:rsidRPr="00B033E9">
                    <w:rPr>
                      <w:rFonts w:ascii="Times New Roman" w:eastAsia="Times New Roman" w:hAnsi="Times New Roman" w:cs="Times New Roman"/>
                      <w:b/>
                      <w:bCs/>
                      <w:color w:val="000000"/>
                      <w:sz w:val="24"/>
                      <w:szCs w:val="24"/>
                    </w:rPr>
                    <w:t>4</w:t>
                  </w:r>
                  <w:r w:rsidR="004928DA">
                    <w:rPr>
                      <w:rFonts w:ascii="Times New Roman" w:eastAsia="Times New Roman" w:hAnsi="Times New Roman" w:cs="Times New Roman"/>
                      <w:b/>
                      <w:bCs/>
                      <w:color w:val="000000"/>
                      <w:sz w:val="24"/>
                      <w:szCs w:val="24"/>
                    </w:rPr>
                    <w:t>45</w:t>
                  </w:r>
                  <w:r w:rsidR="005A14BD" w:rsidRPr="00B033E9">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789</w:t>
                  </w:r>
                  <w:r w:rsidRPr="00B033E9">
                    <w:rPr>
                      <w:rFonts w:ascii="Times New Roman" w:eastAsia="Times New Roman" w:hAnsi="Times New Roman" w:cs="Times New Roman"/>
                      <w:b/>
                      <w:bCs/>
                      <w:color w:val="000000"/>
                      <w:sz w:val="24"/>
                      <w:szCs w:val="24"/>
                    </w:rPr>
                    <w:t xml:space="preserve"> </w:t>
                  </w:r>
                </w:p>
              </w:tc>
            </w:tr>
            <w:tr w:rsidR="004928DA" w:rsidRPr="00B033E9" w14:paraId="094F9371" w14:textId="77777777" w:rsidTr="00573FD9">
              <w:trPr>
                <w:trHeight w:val="75"/>
              </w:trPr>
              <w:tc>
                <w:tcPr>
                  <w:tcW w:w="3852" w:type="dxa"/>
                  <w:tcBorders>
                    <w:top w:val="nil"/>
                    <w:left w:val="nil"/>
                    <w:bottom w:val="nil"/>
                    <w:right w:val="nil"/>
                  </w:tcBorders>
                  <w:shd w:val="clear" w:color="auto" w:fill="auto"/>
                  <w:noWrap/>
                  <w:vAlign w:val="bottom"/>
                  <w:hideMark/>
                </w:tcPr>
                <w:p w14:paraId="28336C98" w14:textId="77777777" w:rsidR="00390D7B" w:rsidRPr="00B033E9" w:rsidRDefault="00390D7B" w:rsidP="00390D7B">
                  <w:pPr>
                    <w:spacing w:after="0" w:line="240" w:lineRule="auto"/>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Regulatory Expense</w:t>
                  </w:r>
                </w:p>
              </w:tc>
              <w:tc>
                <w:tcPr>
                  <w:tcW w:w="1296" w:type="dxa"/>
                  <w:tcBorders>
                    <w:top w:val="nil"/>
                    <w:left w:val="nil"/>
                    <w:bottom w:val="single" w:sz="4" w:space="0" w:color="auto"/>
                    <w:right w:val="nil"/>
                  </w:tcBorders>
                  <w:shd w:val="clear" w:color="auto" w:fill="auto"/>
                  <w:noWrap/>
                  <w:vAlign w:val="bottom"/>
                  <w:hideMark/>
                </w:tcPr>
                <w:p w14:paraId="57D9D0B2" w14:textId="310471C7" w:rsidR="00390D7B" w:rsidRPr="00B033E9" w:rsidRDefault="00390D7B" w:rsidP="00390D7B">
                  <w:pPr>
                    <w:spacing w:after="0" w:line="240" w:lineRule="auto"/>
                    <w:jc w:val="right"/>
                    <w:rPr>
                      <w:rFonts w:ascii="Times New Roman" w:eastAsia="Times New Roman" w:hAnsi="Times New Roman" w:cs="Times New Roman"/>
                      <w:sz w:val="24"/>
                      <w:szCs w:val="24"/>
                    </w:rPr>
                  </w:pPr>
                  <w:r w:rsidRPr="00B033E9">
                    <w:rPr>
                      <w:rFonts w:ascii="Times New Roman" w:eastAsia="Times New Roman" w:hAnsi="Times New Roman" w:cs="Times New Roman"/>
                      <w:b/>
                      <w:bCs/>
                      <w:color w:val="000000"/>
                      <w:sz w:val="24"/>
                      <w:szCs w:val="24"/>
                    </w:rPr>
                    <w:t xml:space="preserve">     1,</w:t>
                  </w:r>
                  <w:r w:rsidR="004928DA">
                    <w:rPr>
                      <w:rFonts w:ascii="Times New Roman" w:eastAsia="Times New Roman" w:hAnsi="Times New Roman" w:cs="Times New Roman"/>
                      <w:b/>
                      <w:bCs/>
                      <w:color w:val="000000"/>
                      <w:sz w:val="24"/>
                      <w:szCs w:val="24"/>
                    </w:rPr>
                    <w:t>55</w:t>
                  </w:r>
                  <w:r w:rsidR="00A20B47" w:rsidRPr="00B033E9">
                    <w:rPr>
                      <w:rFonts w:ascii="Times New Roman" w:eastAsia="Times New Roman" w:hAnsi="Times New Roman" w:cs="Times New Roman"/>
                      <w:b/>
                      <w:bCs/>
                      <w:color w:val="000000"/>
                      <w:sz w:val="24"/>
                      <w:szCs w:val="24"/>
                    </w:rPr>
                    <w:t>0</w:t>
                  </w:r>
                  <w:r w:rsidRPr="00B033E9">
                    <w:rPr>
                      <w:rFonts w:ascii="Times New Roman" w:eastAsia="Times New Roman" w:hAnsi="Times New Roman" w:cs="Times New Roman"/>
                      <w:b/>
                      <w:bCs/>
                      <w:color w:val="000000"/>
                      <w:sz w:val="24"/>
                      <w:szCs w:val="24"/>
                    </w:rPr>
                    <w:t xml:space="preserve">,000 </w:t>
                  </w:r>
                </w:p>
              </w:tc>
              <w:tc>
                <w:tcPr>
                  <w:tcW w:w="1296" w:type="dxa"/>
                  <w:tcBorders>
                    <w:top w:val="nil"/>
                    <w:left w:val="nil"/>
                    <w:bottom w:val="single" w:sz="4" w:space="0" w:color="auto"/>
                    <w:right w:val="nil"/>
                  </w:tcBorders>
                  <w:shd w:val="clear" w:color="auto" w:fill="auto"/>
                  <w:noWrap/>
                  <w:vAlign w:val="bottom"/>
                  <w:hideMark/>
                </w:tcPr>
                <w:p w14:paraId="5A280F75" w14:textId="030C4720" w:rsidR="00390D7B" w:rsidRPr="00B033E9" w:rsidRDefault="00390D7B" w:rsidP="00390D7B">
                  <w:pPr>
                    <w:spacing w:after="0" w:line="240" w:lineRule="auto"/>
                    <w:jc w:val="right"/>
                    <w:rPr>
                      <w:rFonts w:ascii="Times New Roman" w:eastAsia="Times New Roman" w:hAnsi="Times New Roman" w:cs="Times New Roman"/>
                      <w:sz w:val="24"/>
                      <w:szCs w:val="24"/>
                    </w:rPr>
                  </w:pPr>
                  <w:r w:rsidRPr="00B033E9">
                    <w:rPr>
                      <w:rFonts w:ascii="Times New Roman" w:eastAsia="Times New Roman" w:hAnsi="Times New Roman" w:cs="Times New Roman"/>
                      <w:b/>
                      <w:bCs/>
                      <w:color w:val="000000"/>
                      <w:sz w:val="24"/>
                      <w:szCs w:val="24"/>
                    </w:rPr>
                    <w:t xml:space="preserve">     1,</w:t>
                  </w:r>
                  <w:r w:rsidR="004928DA">
                    <w:rPr>
                      <w:rFonts w:ascii="Times New Roman" w:eastAsia="Times New Roman" w:hAnsi="Times New Roman" w:cs="Times New Roman"/>
                      <w:b/>
                      <w:bCs/>
                      <w:color w:val="000000"/>
                      <w:sz w:val="24"/>
                      <w:szCs w:val="24"/>
                    </w:rPr>
                    <w:t>581</w:t>
                  </w:r>
                  <w:r w:rsidRPr="00B033E9">
                    <w:rPr>
                      <w:rFonts w:ascii="Times New Roman" w:eastAsia="Times New Roman" w:hAnsi="Times New Roman" w:cs="Times New Roman"/>
                      <w:b/>
                      <w:bCs/>
                      <w:color w:val="000000"/>
                      <w:sz w:val="24"/>
                      <w:szCs w:val="24"/>
                    </w:rPr>
                    <w:t xml:space="preserve">,000 </w:t>
                  </w:r>
                </w:p>
              </w:tc>
              <w:tc>
                <w:tcPr>
                  <w:tcW w:w="1296" w:type="dxa"/>
                  <w:tcBorders>
                    <w:top w:val="nil"/>
                    <w:left w:val="nil"/>
                    <w:bottom w:val="single" w:sz="4" w:space="0" w:color="auto"/>
                    <w:right w:val="nil"/>
                  </w:tcBorders>
                  <w:shd w:val="clear" w:color="auto" w:fill="auto"/>
                  <w:noWrap/>
                  <w:vAlign w:val="bottom"/>
                  <w:hideMark/>
                </w:tcPr>
                <w:p w14:paraId="4DE5F0B1" w14:textId="5EBD03B9" w:rsidR="00390D7B" w:rsidRPr="00B033E9" w:rsidRDefault="00390D7B" w:rsidP="00390D7B">
                  <w:pPr>
                    <w:spacing w:after="0" w:line="240" w:lineRule="auto"/>
                    <w:jc w:val="right"/>
                    <w:rPr>
                      <w:rFonts w:ascii="Times New Roman" w:eastAsia="Times New Roman" w:hAnsi="Times New Roman" w:cs="Times New Roman"/>
                      <w:sz w:val="24"/>
                      <w:szCs w:val="24"/>
                    </w:rPr>
                  </w:pPr>
                  <w:r w:rsidRPr="00B033E9">
                    <w:rPr>
                      <w:rFonts w:ascii="Times New Roman" w:eastAsia="Times New Roman" w:hAnsi="Times New Roman" w:cs="Times New Roman"/>
                      <w:b/>
                      <w:bCs/>
                      <w:color w:val="000000"/>
                      <w:sz w:val="24"/>
                      <w:szCs w:val="24"/>
                    </w:rPr>
                    <w:t xml:space="preserve">     1,</w:t>
                  </w:r>
                  <w:r w:rsidR="00A22912" w:rsidRPr="00B033E9">
                    <w:rPr>
                      <w:rFonts w:ascii="Times New Roman" w:eastAsia="Times New Roman" w:hAnsi="Times New Roman" w:cs="Times New Roman"/>
                      <w:b/>
                      <w:bCs/>
                      <w:color w:val="000000"/>
                      <w:sz w:val="24"/>
                      <w:szCs w:val="24"/>
                    </w:rPr>
                    <w:t>6</w:t>
                  </w:r>
                  <w:r w:rsidR="004928DA">
                    <w:rPr>
                      <w:rFonts w:ascii="Times New Roman" w:eastAsia="Times New Roman" w:hAnsi="Times New Roman" w:cs="Times New Roman"/>
                      <w:b/>
                      <w:bCs/>
                      <w:color w:val="000000"/>
                      <w:sz w:val="24"/>
                      <w:szCs w:val="24"/>
                    </w:rPr>
                    <w:t>12</w:t>
                  </w:r>
                  <w:r w:rsidRPr="00B033E9">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620</w:t>
                  </w:r>
                  <w:r w:rsidRPr="00B033E9">
                    <w:rPr>
                      <w:rFonts w:ascii="Times New Roman" w:eastAsia="Times New Roman" w:hAnsi="Times New Roman" w:cs="Times New Roman"/>
                      <w:b/>
                      <w:bCs/>
                      <w:color w:val="000000"/>
                      <w:sz w:val="24"/>
                      <w:szCs w:val="24"/>
                    </w:rPr>
                    <w:t xml:space="preserve"> </w:t>
                  </w:r>
                </w:p>
              </w:tc>
            </w:tr>
            <w:tr w:rsidR="004928DA" w:rsidRPr="00B033E9" w14:paraId="77EA5637" w14:textId="77777777" w:rsidTr="00573FD9">
              <w:trPr>
                <w:trHeight w:val="300"/>
              </w:trPr>
              <w:tc>
                <w:tcPr>
                  <w:tcW w:w="3852" w:type="dxa"/>
                  <w:tcBorders>
                    <w:top w:val="nil"/>
                    <w:left w:val="nil"/>
                    <w:bottom w:val="nil"/>
                    <w:right w:val="nil"/>
                  </w:tcBorders>
                  <w:shd w:val="clear" w:color="auto" w:fill="auto"/>
                  <w:noWrap/>
                  <w:vAlign w:val="bottom"/>
                  <w:hideMark/>
                </w:tcPr>
                <w:p w14:paraId="4CD8010F" w14:textId="77777777" w:rsidR="00390D7B" w:rsidRPr="00B033E9" w:rsidRDefault="00390D7B" w:rsidP="00390D7B">
                  <w:pPr>
                    <w:spacing w:after="0" w:line="240" w:lineRule="auto"/>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EBITDA</w:t>
                  </w:r>
                </w:p>
              </w:tc>
              <w:tc>
                <w:tcPr>
                  <w:tcW w:w="1296" w:type="dxa"/>
                  <w:tcBorders>
                    <w:top w:val="nil"/>
                    <w:left w:val="nil"/>
                    <w:bottom w:val="nil"/>
                    <w:right w:val="nil"/>
                  </w:tcBorders>
                  <w:shd w:val="clear" w:color="auto" w:fill="auto"/>
                  <w:noWrap/>
                  <w:vAlign w:val="bottom"/>
                  <w:hideMark/>
                </w:tcPr>
                <w:p w14:paraId="15AD8055" w14:textId="71238632" w:rsidR="00390D7B" w:rsidRPr="00B033E9" w:rsidRDefault="00390D7B" w:rsidP="00390D7B">
                  <w:pPr>
                    <w:spacing w:after="0" w:line="240" w:lineRule="auto"/>
                    <w:jc w:val="right"/>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 xml:space="preserve">     </w:t>
                  </w:r>
                  <w:r w:rsidR="00B033E9" w:rsidRPr="00B033E9">
                    <w:rPr>
                      <w:rFonts w:ascii="Times New Roman" w:eastAsia="Times New Roman" w:hAnsi="Times New Roman" w:cs="Times New Roman"/>
                      <w:b/>
                      <w:bCs/>
                      <w:color w:val="000000"/>
                      <w:sz w:val="24"/>
                      <w:szCs w:val="24"/>
                    </w:rPr>
                    <w:t>5</w:t>
                  </w:r>
                  <w:r w:rsidRPr="00B033E9">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489</w:t>
                  </w:r>
                  <w:r w:rsidRPr="00B033E9">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75</w:t>
                  </w:r>
                  <w:r w:rsidR="007B0E79" w:rsidRPr="00B033E9">
                    <w:rPr>
                      <w:rFonts w:ascii="Times New Roman" w:eastAsia="Times New Roman" w:hAnsi="Times New Roman" w:cs="Times New Roman"/>
                      <w:b/>
                      <w:bCs/>
                      <w:color w:val="000000"/>
                      <w:sz w:val="24"/>
                      <w:szCs w:val="24"/>
                    </w:rPr>
                    <w:t>0</w:t>
                  </w:r>
                  <w:r w:rsidRPr="00B033E9">
                    <w:rPr>
                      <w:rFonts w:ascii="Times New Roman" w:eastAsia="Times New Roman" w:hAnsi="Times New Roman" w:cs="Times New Roman"/>
                      <w:b/>
                      <w:bCs/>
                      <w:color w:val="000000"/>
                      <w:sz w:val="24"/>
                      <w:szCs w:val="24"/>
                    </w:rPr>
                    <w:t xml:space="preserve"> </w:t>
                  </w:r>
                </w:p>
              </w:tc>
              <w:tc>
                <w:tcPr>
                  <w:tcW w:w="1296" w:type="dxa"/>
                  <w:tcBorders>
                    <w:top w:val="nil"/>
                    <w:left w:val="nil"/>
                    <w:bottom w:val="nil"/>
                    <w:right w:val="nil"/>
                  </w:tcBorders>
                  <w:shd w:val="clear" w:color="auto" w:fill="auto"/>
                  <w:noWrap/>
                  <w:vAlign w:val="bottom"/>
                  <w:hideMark/>
                </w:tcPr>
                <w:p w14:paraId="3C20F53A" w14:textId="6A914A08" w:rsidR="00390D7B" w:rsidRPr="00B033E9" w:rsidRDefault="00390D7B" w:rsidP="00390D7B">
                  <w:pPr>
                    <w:spacing w:after="0" w:line="240" w:lineRule="auto"/>
                    <w:jc w:val="right"/>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 xml:space="preserve">     </w:t>
                  </w:r>
                  <w:r w:rsidR="00B033E9" w:rsidRPr="00B033E9">
                    <w:rPr>
                      <w:rFonts w:ascii="Times New Roman" w:eastAsia="Times New Roman" w:hAnsi="Times New Roman" w:cs="Times New Roman"/>
                      <w:b/>
                      <w:bCs/>
                      <w:color w:val="000000"/>
                      <w:sz w:val="24"/>
                      <w:szCs w:val="24"/>
                    </w:rPr>
                    <w:t>5,</w:t>
                  </w:r>
                  <w:r w:rsidR="004928DA">
                    <w:rPr>
                      <w:rFonts w:ascii="Times New Roman" w:eastAsia="Times New Roman" w:hAnsi="Times New Roman" w:cs="Times New Roman"/>
                      <w:b/>
                      <w:bCs/>
                      <w:color w:val="000000"/>
                      <w:sz w:val="24"/>
                      <w:szCs w:val="24"/>
                    </w:rPr>
                    <w:t>513</w:t>
                  </w:r>
                  <w:r w:rsidR="00A20B47" w:rsidRPr="00B033E9">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57</w:t>
                  </w:r>
                  <w:r w:rsidR="00B033E9" w:rsidRPr="00B033E9">
                    <w:rPr>
                      <w:rFonts w:ascii="Times New Roman" w:eastAsia="Times New Roman" w:hAnsi="Times New Roman" w:cs="Times New Roman"/>
                      <w:b/>
                      <w:bCs/>
                      <w:color w:val="000000"/>
                      <w:sz w:val="24"/>
                      <w:szCs w:val="24"/>
                    </w:rPr>
                    <w:t>0</w:t>
                  </w:r>
                  <w:r w:rsidRPr="00B033E9">
                    <w:rPr>
                      <w:rFonts w:ascii="Times New Roman" w:eastAsia="Times New Roman" w:hAnsi="Times New Roman" w:cs="Times New Roman"/>
                      <w:b/>
                      <w:bCs/>
                      <w:color w:val="000000"/>
                      <w:sz w:val="24"/>
                      <w:szCs w:val="24"/>
                    </w:rPr>
                    <w:t xml:space="preserve"> </w:t>
                  </w:r>
                </w:p>
              </w:tc>
              <w:tc>
                <w:tcPr>
                  <w:tcW w:w="1296" w:type="dxa"/>
                  <w:tcBorders>
                    <w:top w:val="nil"/>
                    <w:left w:val="nil"/>
                    <w:bottom w:val="nil"/>
                    <w:right w:val="nil"/>
                  </w:tcBorders>
                  <w:shd w:val="clear" w:color="auto" w:fill="auto"/>
                  <w:noWrap/>
                  <w:vAlign w:val="bottom"/>
                  <w:hideMark/>
                </w:tcPr>
                <w:p w14:paraId="576C7C53" w14:textId="6CEF5F89" w:rsidR="00390D7B" w:rsidRPr="00B033E9" w:rsidRDefault="00390D7B" w:rsidP="00390D7B">
                  <w:pPr>
                    <w:spacing w:after="0" w:line="240" w:lineRule="auto"/>
                    <w:jc w:val="right"/>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 xml:space="preserve">     </w:t>
                  </w:r>
                  <w:r w:rsidR="00A20B47" w:rsidRPr="00B033E9">
                    <w:rPr>
                      <w:rFonts w:ascii="Times New Roman" w:eastAsia="Times New Roman" w:hAnsi="Times New Roman" w:cs="Times New Roman"/>
                      <w:b/>
                      <w:bCs/>
                      <w:color w:val="000000"/>
                      <w:sz w:val="24"/>
                      <w:szCs w:val="24"/>
                    </w:rPr>
                    <w:t>6,</w:t>
                  </w:r>
                  <w:r w:rsidR="00B033E9" w:rsidRPr="00B033E9">
                    <w:rPr>
                      <w:rFonts w:ascii="Times New Roman" w:eastAsia="Times New Roman" w:hAnsi="Times New Roman" w:cs="Times New Roman"/>
                      <w:b/>
                      <w:bCs/>
                      <w:color w:val="000000"/>
                      <w:sz w:val="24"/>
                      <w:szCs w:val="24"/>
                    </w:rPr>
                    <w:t>2</w:t>
                  </w:r>
                  <w:r w:rsidR="004928DA">
                    <w:rPr>
                      <w:rFonts w:ascii="Times New Roman" w:eastAsia="Times New Roman" w:hAnsi="Times New Roman" w:cs="Times New Roman"/>
                      <w:b/>
                      <w:bCs/>
                      <w:color w:val="000000"/>
                      <w:sz w:val="24"/>
                      <w:szCs w:val="24"/>
                    </w:rPr>
                    <w:t>92</w:t>
                  </w:r>
                  <w:r w:rsidR="00A20B47" w:rsidRPr="00B033E9">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718</w:t>
                  </w:r>
                  <w:r w:rsidRPr="00B033E9">
                    <w:rPr>
                      <w:rFonts w:ascii="Times New Roman" w:eastAsia="Times New Roman" w:hAnsi="Times New Roman" w:cs="Times New Roman"/>
                      <w:b/>
                      <w:bCs/>
                      <w:color w:val="000000"/>
                      <w:sz w:val="24"/>
                      <w:szCs w:val="24"/>
                    </w:rPr>
                    <w:t xml:space="preserve"> </w:t>
                  </w:r>
                </w:p>
              </w:tc>
            </w:tr>
            <w:tr w:rsidR="004928DA" w:rsidRPr="00B033E9" w14:paraId="33DD9BF8" w14:textId="77777777" w:rsidTr="00573FD9">
              <w:trPr>
                <w:trHeight w:val="60"/>
              </w:trPr>
              <w:tc>
                <w:tcPr>
                  <w:tcW w:w="3852" w:type="dxa"/>
                  <w:tcBorders>
                    <w:top w:val="nil"/>
                    <w:left w:val="nil"/>
                    <w:bottom w:val="nil"/>
                    <w:right w:val="nil"/>
                  </w:tcBorders>
                  <w:shd w:val="clear" w:color="auto" w:fill="auto"/>
                  <w:noWrap/>
                  <w:vAlign w:val="bottom"/>
                  <w:hideMark/>
                </w:tcPr>
                <w:p w14:paraId="21079566" w14:textId="77777777" w:rsidR="00390D7B" w:rsidRDefault="00390D7B" w:rsidP="00390D7B">
                  <w:pPr>
                    <w:spacing w:after="0" w:line="240" w:lineRule="auto"/>
                    <w:rPr>
                      <w:rFonts w:ascii="Times New Roman" w:eastAsia="Times New Roman" w:hAnsi="Times New Roman" w:cs="Times New Roman"/>
                      <w:b/>
                      <w:bCs/>
                      <w:color w:val="000000"/>
                      <w:sz w:val="24"/>
                      <w:szCs w:val="24"/>
                    </w:rPr>
                  </w:pPr>
                </w:p>
                <w:p w14:paraId="73FA628E" w14:textId="001E2F42" w:rsidR="00FA4326" w:rsidRPr="00B033E9" w:rsidRDefault="00FA4326" w:rsidP="00390D7B">
                  <w:pPr>
                    <w:spacing w:after="0" w:line="240" w:lineRule="auto"/>
                    <w:rPr>
                      <w:rFonts w:ascii="Times New Roman" w:eastAsia="Times New Roman" w:hAnsi="Times New Roman" w:cs="Times New Roman"/>
                      <w:b/>
                      <w:bCs/>
                      <w:color w:val="000000"/>
                      <w:sz w:val="24"/>
                      <w:szCs w:val="24"/>
                    </w:rPr>
                  </w:pPr>
                </w:p>
              </w:tc>
              <w:tc>
                <w:tcPr>
                  <w:tcW w:w="1296" w:type="dxa"/>
                  <w:tcBorders>
                    <w:top w:val="nil"/>
                    <w:left w:val="nil"/>
                    <w:bottom w:val="nil"/>
                    <w:right w:val="nil"/>
                  </w:tcBorders>
                  <w:shd w:val="clear" w:color="auto" w:fill="auto"/>
                  <w:noWrap/>
                  <w:vAlign w:val="bottom"/>
                  <w:hideMark/>
                </w:tcPr>
                <w:p w14:paraId="67A3D50C" w14:textId="77777777" w:rsidR="00390D7B" w:rsidRPr="00B033E9" w:rsidRDefault="00390D7B" w:rsidP="00390D7B">
                  <w:pPr>
                    <w:spacing w:after="0" w:line="240" w:lineRule="auto"/>
                    <w:jc w:val="right"/>
                    <w:rPr>
                      <w:rFonts w:ascii="Times New Roman" w:eastAsia="Times New Roman" w:hAnsi="Times New Roman" w:cs="Times New Roman"/>
                      <w:sz w:val="24"/>
                      <w:szCs w:val="24"/>
                    </w:rPr>
                  </w:pPr>
                </w:p>
              </w:tc>
              <w:tc>
                <w:tcPr>
                  <w:tcW w:w="1296" w:type="dxa"/>
                  <w:tcBorders>
                    <w:top w:val="nil"/>
                    <w:left w:val="nil"/>
                    <w:bottom w:val="nil"/>
                    <w:right w:val="nil"/>
                  </w:tcBorders>
                  <w:shd w:val="clear" w:color="auto" w:fill="auto"/>
                  <w:noWrap/>
                  <w:vAlign w:val="bottom"/>
                  <w:hideMark/>
                </w:tcPr>
                <w:p w14:paraId="13312A1E" w14:textId="77777777" w:rsidR="00390D7B" w:rsidRPr="00B033E9" w:rsidRDefault="00390D7B" w:rsidP="00390D7B">
                  <w:pPr>
                    <w:spacing w:after="0" w:line="240" w:lineRule="auto"/>
                    <w:jc w:val="right"/>
                    <w:rPr>
                      <w:rFonts w:ascii="Times New Roman" w:eastAsia="Times New Roman" w:hAnsi="Times New Roman" w:cs="Times New Roman"/>
                      <w:sz w:val="24"/>
                      <w:szCs w:val="24"/>
                    </w:rPr>
                  </w:pPr>
                </w:p>
              </w:tc>
              <w:tc>
                <w:tcPr>
                  <w:tcW w:w="1296" w:type="dxa"/>
                  <w:tcBorders>
                    <w:top w:val="nil"/>
                    <w:left w:val="nil"/>
                    <w:bottom w:val="nil"/>
                    <w:right w:val="nil"/>
                  </w:tcBorders>
                  <w:shd w:val="clear" w:color="auto" w:fill="auto"/>
                  <w:noWrap/>
                  <w:vAlign w:val="bottom"/>
                  <w:hideMark/>
                </w:tcPr>
                <w:p w14:paraId="602984EF" w14:textId="77777777" w:rsidR="00390D7B" w:rsidRPr="00B033E9" w:rsidRDefault="00390D7B" w:rsidP="00390D7B">
                  <w:pPr>
                    <w:spacing w:after="0" w:line="240" w:lineRule="auto"/>
                    <w:jc w:val="right"/>
                    <w:rPr>
                      <w:rFonts w:ascii="Times New Roman" w:eastAsia="Times New Roman" w:hAnsi="Times New Roman" w:cs="Times New Roman"/>
                      <w:sz w:val="24"/>
                      <w:szCs w:val="24"/>
                    </w:rPr>
                  </w:pPr>
                </w:p>
              </w:tc>
            </w:tr>
            <w:tr w:rsidR="004928DA" w:rsidRPr="00B033E9" w14:paraId="753747C1" w14:textId="77777777" w:rsidTr="00573FD9">
              <w:trPr>
                <w:trHeight w:val="300"/>
              </w:trPr>
              <w:tc>
                <w:tcPr>
                  <w:tcW w:w="3852" w:type="dxa"/>
                  <w:tcBorders>
                    <w:top w:val="nil"/>
                    <w:left w:val="nil"/>
                    <w:bottom w:val="nil"/>
                    <w:right w:val="nil"/>
                  </w:tcBorders>
                  <w:shd w:val="clear" w:color="auto" w:fill="auto"/>
                  <w:noWrap/>
                  <w:vAlign w:val="bottom"/>
                  <w:hideMark/>
                </w:tcPr>
                <w:p w14:paraId="57B53616" w14:textId="5503714B" w:rsidR="00390D7B" w:rsidRPr="00B033E9" w:rsidRDefault="00390D7B" w:rsidP="00390D7B">
                  <w:pPr>
                    <w:spacing w:after="0" w:line="240" w:lineRule="auto"/>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b/>
                      <w:bCs/>
                      <w:color w:val="000000"/>
                      <w:sz w:val="24"/>
                      <w:szCs w:val="24"/>
                    </w:rPr>
                    <w:t>Non-operating Expense</w:t>
                  </w:r>
                </w:p>
              </w:tc>
              <w:tc>
                <w:tcPr>
                  <w:tcW w:w="1296" w:type="dxa"/>
                  <w:tcBorders>
                    <w:top w:val="nil"/>
                    <w:left w:val="nil"/>
                    <w:bottom w:val="nil"/>
                    <w:right w:val="nil"/>
                  </w:tcBorders>
                  <w:shd w:val="clear" w:color="auto" w:fill="auto"/>
                  <w:noWrap/>
                  <w:vAlign w:val="bottom"/>
                  <w:hideMark/>
                </w:tcPr>
                <w:p w14:paraId="5DE8BE49" w14:textId="77777777" w:rsidR="00390D7B" w:rsidRPr="00B033E9" w:rsidRDefault="00390D7B" w:rsidP="00390D7B">
                  <w:pPr>
                    <w:spacing w:after="0" w:line="240" w:lineRule="auto"/>
                    <w:jc w:val="right"/>
                    <w:rPr>
                      <w:rFonts w:ascii="Times New Roman" w:eastAsia="Times New Roman" w:hAnsi="Times New Roman" w:cs="Times New Roman"/>
                      <w:b/>
                      <w:bCs/>
                      <w:color w:val="000000"/>
                      <w:sz w:val="24"/>
                      <w:szCs w:val="24"/>
                    </w:rPr>
                  </w:pPr>
                </w:p>
              </w:tc>
              <w:tc>
                <w:tcPr>
                  <w:tcW w:w="1296" w:type="dxa"/>
                  <w:tcBorders>
                    <w:top w:val="nil"/>
                    <w:left w:val="nil"/>
                    <w:bottom w:val="nil"/>
                    <w:right w:val="nil"/>
                  </w:tcBorders>
                  <w:shd w:val="clear" w:color="auto" w:fill="auto"/>
                  <w:noWrap/>
                  <w:vAlign w:val="bottom"/>
                  <w:hideMark/>
                </w:tcPr>
                <w:p w14:paraId="44D8DD9F" w14:textId="77777777" w:rsidR="00390D7B" w:rsidRPr="00B033E9" w:rsidRDefault="00390D7B" w:rsidP="00390D7B">
                  <w:pPr>
                    <w:spacing w:after="0" w:line="240" w:lineRule="auto"/>
                    <w:jc w:val="right"/>
                    <w:rPr>
                      <w:rFonts w:ascii="Times New Roman" w:eastAsia="Times New Roman" w:hAnsi="Times New Roman" w:cs="Times New Roman"/>
                      <w:b/>
                      <w:bCs/>
                      <w:color w:val="000000"/>
                      <w:sz w:val="24"/>
                      <w:szCs w:val="24"/>
                    </w:rPr>
                  </w:pPr>
                </w:p>
              </w:tc>
              <w:tc>
                <w:tcPr>
                  <w:tcW w:w="1296" w:type="dxa"/>
                  <w:tcBorders>
                    <w:top w:val="nil"/>
                    <w:left w:val="nil"/>
                    <w:bottom w:val="nil"/>
                    <w:right w:val="nil"/>
                  </w:tcBorders>
                  <w:shd w:val="clear" w:color="auto" w:fill="auto"/>
                  <w:noWrap/>
                  <w:vAlign w:val="bottom"/>
                  <w:hideMark/>
                </w:tcPr>
                <w:p w14:paraId="4EBAF434" w14:textId="77777777" w:rsidR="00390D7B" w:rsidRPr="00B033E9" w:rsidRDefault="00390D7B" w:rsidP="00390D7B">
                  <w:pPr>
                    <w:spacing w:after="0" w:line="240" w:lineRule="auto"/>
                    <w:jc w:val="right"/>
                    <w:rPr>
                      <w:rFonts w:ascii="Times New Roman" w:eastAsia="Times New Roman" w:hAnsi="Times New Roman" w:cs="Times New Roman"/>
                      <w:b/>
                      <w:bCs/>
                      <w:color w:val="000000"/>
                      <w:sz w:val="24"/>
                      <w:szCs w:val="24"/>
                    </w:rPr>
                  </w:pPr>
                </w:p>
              </w:tc>
            </w:tr>
            <w:tr w:rsidR="004928DA" w:rsidRPr="00B033E9" w14:paraId="3B28888C" w14:textId="77777777" w:rsidTr="00573FD9">
              <w:trPr>
                <w:trHeight w:val="45"/>
              </w:trPr>
              <w:tc>
                <w:tcPr>
                  <w:tcW w:w="3852" w:type="dxa"/>
                  <w:tcBorders>
                    <w:top w:val="nil"/>
                    <w:left w:val="nil"/>
                    <w:bottom w:val="nil"/>
                    <w:right w:val="nil"/>
                  </w:tcBorders>
                  <w:shd w:val="clear" w:color="auto" w:fill="auto"/>
                  <w:noWrap/>
                  <w:vAlign w:val="bottom"/>
                  <w:hideMark/>
                </w:tcPr>
                <w:p w14:paraId="64C8A149" w14:textId="77777777" w:rsidR="00390D7B" w:rsidRPr="00B033E9" w:rsidRDefault="00390D7B" w:rsidP="00390D7B">
                  <w:pPr>
                    <w:spacing w:after="0" w:line="240" w:lineRule="auto"/>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color w:val="000000"/>
                      <w:sz w:val="24"/>
                      <w:szCs w:val="24"/>
                    </w:rPr>
                    <w:t>Depreciation</w:t>
                  </w:r>
                </w:p>
              </w:tc>
              <w:tc>
                <w:tcPr>
                  <w:tcW w:w="1296" w:type="dxa"/>
                  <w:tcBorders>
                    <w:top w:val="nil"/>
                    <w:left w:val="nil"/>
                    <w:bottom w:val="nil"/>
                    <w:right w:val="nil"/>
                  </w:tcBorders>
                  <w:shd w:val="clear" w:color="auto" w:fill="auto"/>
                  <w:noWrap/>
                  <w:vAlign w:val="bottom"/>
                  <w:hideMark/>
                </w:tcPr>
                <w:p w14:paraId="7FE05631" w14:textId="2A41D57E" w:rsidR="00390D7B" w:rsidRPr="00B033E9" w:rsidRDefault="00390D7B" w:rsidP="00390D7B">
                  <w:pPr>
                    <w:spacing w:after="0" w:line="240" w:lineRule="auto"/>
                    <w:jc w:val="right"/>
                    <w:rPr>
                      <w:rFonts w:ascii="Times New Roman" w:eastAsia="Times New Roman" w:hAnsi="Times New Roman" w:cs="Times New Roman"/>
                      <w:sz w:val="24"/>
                      <w:szCs w:val="24"/>
                    </w:rPr>
                  </w:pPr>
                  <w:r w:rsidRPr="00B033E9">
                    <w:rPr>
                      <w:rFonts w:ascii="Times New Roman" w:eastAsia="Times New Roman" w:hAnsi="Times New Roman" w:cs="Times New Roman"/>
                      <w:color w:val="000000"/>
                      <w:sz w:val="24"/>
                      <w:szCs w:val="24"/>
                    </w:rPr>
                    <w:t xml:space="preserve">     2,</w:t>
                  </w:r>
                  <w:r w:rsidR="005A14BD" w:rsidRPr="00B033E9">
                    <w:rPr>
                      <w:rFonts w:ascii="Times New Roman" w:eastAsia="Times New Roman" w:hAnsi="Times New Roman" w:cs="Times New Roman"/>
                      <w:color w:val="000000"/>
                      <w:sz w:val="24"/>
                      <w:szCs w:val="24"/>
                    </w:rPr>
                    <w:t>1</w:t>
                  </w:r>
                  <w:r w:rsidR="007B0E79" w:rsidRPr="00B033E9">
                    <w:rPr>
                      <w:rFonts w:ascii="Times New Roman" w:eastAsia="Times New Roman" w:hAnsi="Times New Roman" w:cs="Times New Roman"/>
                      <w:color w:val="000000"/>
                      <w:sz w:val="24"/>
                      <w:szCs w:val="24"/>
                    </w:rPr>
                    <w:t>0</w:t>
                  </w:r>
                  <w:r w:rsidRPr="00B033E9">
                    <w:rPr>
                      <w:rFonts w:ascii="Times New Roman" w:eastAsia="Times New Roman" w:hAnsi="Times New Roman" w:cs="Times New Roman"/>
                      <w:color w:val="000000"/>
                      <w:sz w:val="24"/>
                      <w:szCs w:val="24"/>
                    </w:rPr>
                    <w:t xml:space="preserve">0,000 </w:t>
                  </w:r>
                </w:p>
              </w:tc>
              <w:tc>
                <w:tcPr>
                  <w:tcW w:w="1296" w:type="dxa"/>
                  <w:tcBorders>
                    <w:top w:val="nil"/>
                    <w:left w:val="nil"/>
                    <w:bottom w:val="nil"/>
                    <w:right w:val="nil"/>
                  </w:tcBorders>
                  <w:shd w:val="clear" w:color="auto" w:fill="auto"/>
                  <w:noWrap/>
                  <w:vAlign w:val="bottom"/>
                  <w:hideMark/>
                </w:tcPr>
                <w:p w14:paraId="5C578C7C" w14:textId="0A8FE23A" w:rsidR="00390D7B" w:rsidRPr="00B033E9" w:rsidRDefault="00390D7B" w:rsidP="00390D7B">
                  <w:pPr>
                    <w:spacing w:after="0" w:line="240" w:lineRule="auto"/>
                    <w:jc w:val="right"/>
                    <w:rPr>
                      <w:rFonts w:ascii="Times New Roman" w:eastAsia="Times New Roman" w:hAnsi="Times New Roman" w:cs="Times New Roman"/>
                      <w:sz w:val="24"/>
                      <w:szCs w:val="24"/>
                    </w:rPr>
                  </w:pPr>
                  <w:r w:rsidRPr="00B033E9">
                    <w:rPr>
                      <w:rFonts w:ascii="Times New Roman" w:eastAsia="Times New Roman" w:hAnsi="Times New Roman" w:cs="Times New Roman"/>
                      <w:color w:val="000000"/>
                      <w:sz w:val="24"/>
                      <w:szCs w:val="24"/>
                    </w:rPr>
                    <w:t xml:space="preserve">     2</w:t>
                  </w:r>
                  <w:r w:rsidR="00A20B47" w:rsidRPr="00B033E9">
                    <w:rPr>
                      <w:rFonts w:ascii="Times New Roman" w:eastAsia="Times New Roman" w:hAnsi="Times New Roman" w:cs="Times New Roman"/>
                      <w:color w:val="000000"/>
                      <w:sz w:val="24"/>
                      <w:szCs w:val="24"/>
                    </w:rPr>
                    <w:t>,</w:t>
                  </w:r>
                  <w:r w:rsidR="00B033E9" w:rsidRPr="00B033E9">
                    <w:rPr>
                      <w:rFonts w:ascii="Times New Roman" w:eastAsia="Times New Roman" w:hAnsi="Times New Roman" w:cs="Times New Roman"/>
                      <w:color w:val="000000"/>
                      <w:sz w:val="24"/>
                      <w:szCs w:val="24"/>
                    </w:rPr>
                    <w:t>0</w:t>
                  </w:r>
                  <w:r w:rsidR="00A22912" w:rsidRPr="00B033E9">
                    <w:rPr>
                      <w:rFonts w:ascii="Times New Roman" w:eastAsia="Times New Roman" w:hAnsi="Times New Roman" w:cs="Times New Roman"/>
                      <w:color w:val="000000"/>
                      <w:sz w:val="24"/>
                      <w:szCs w:val="24"/>
                    </w:rPr>
                    <w:t>00</w:t>
                  </w:r>
                  <w:r w:rsidRPr="00B033E9">
                    <w:rPr>
                      <w:rFonts w:ascii="Times New Roman" w:eastAsia="Times New Roman" w:hAnsi="Times New Roman" w:cs="Times New Roman"/>
                      <w:color w:val="000000"/>
                      <w:sz w:val="24"/>
                      <w:szCs w:val="24"/>
                    </w:rPr>
                    <w:t>,</w:t>
                  </w:r>
                  <w:r w:rsidR="00A22912" w:rsidRPr="00B033E9">
                    <w:rPr>
                      <w:rFonts w:ascii="Times New Roman" w:eastAsia="Times New Roman" w:hAnsi="Times New Roman" w:cs="Times New Roman"/>
                      <w:color w:val="000000"/>
                      <w:sz w:val="24"/>
                      <w:szCs w:val="24"/>
                    </w:rPr>
                    <w:t>0</w:t>
                  </w:r>
                  <w:r w:rsidRPr="00B033E9">
                    <w:rPr>
                      <w:rFonts w:ascii="Times New Roman" w:eastAsia="Times New Roman" w:hAnsi="Times New Roman" w:cs="Times New Roman"/>
                      <w:color w:val="000000"/>
                      <w:sz w:val="24"/>
                      <w:szCs w:val="24"/>
                    </w:rPr>
                    <w:t xml:space="preserve">00 </w:t>
                  </w:r>
                </w:p>
              </w:tc>
              <w:tc>
                <w:tcPr>
                  <w:tcW w:w="1296" w:type="dxa"/>
                  <w:tcBorders>
                    <w:top w:val="nil"/>
                    <w:left w:val="nil"/>
                    <w:bottom w:val="nil"/>
                    <w:right w:val="nil"/>
                  </w:tcBorders>
                  <w:shd w:val="clear" w:color="auto" w:fill="auto"/>
                  <w:noWrap/>
                  <w:vAlign w:val="bottom"/>
                  <w:hideMark/>
                </w:tcPr>
                <w:p w14:paraId="25B56676" w14:textId="3F4AEA8E" w:rsidR="00390D7B" w:rsidRPr="00B033E9" w:rsidRDefault="00390D7B" w:rsidP="00390D7B">
                  <w:pPr>
                    <w:spacing w:after="0" w:line="240" w:lineRule="auto"/>
                    <w:jc w:val="right"/>
                    <w:rPr>
                      <w:rFonts w:ascii="Times New Roman" w:eastAsia="Times New Roman" w:hAnsi="Times New Roman" w:cs="Times New Roman"/>
                      <w:sz w:val="24"/>
                      <w:szCs w:val="24"/>
                    </w:rPr>
                  </w:pPr>
                  <w:r w:rsidRPr="00B033E9">
                    <w:rPr>
                      <w:rFonts w:ascii="Times New Roman" w:eastAsia="Times New Roman" w:hAnsi="Times New Roman" w:cs="Times New Roman"/>
                      <w:color w:val="000000"/>
                      <w:sz w:val="24"/>
                      <w:szCs w:val="24"/>
                    </w:rPr>
                    <w:t xml:space="preserve">     2,</w:t>
                  </w:r>
                  <w:r w:rsidR="005A14BD" w:rsidRPr="00B033E9">
                    <w:rPr>
                      <w:rFonts w:ascii="Times New Roman" w:eastAsia="Times New Roman" w:hAnsi="Times New Roman" w:cs="Times New Roman"/>
                      <w:color w:val="000000"/>
                      <w:sz w:val="24"/>
                      <w:szCs w:val="24"/>
                    </w:rPr>
                    <w:t>1</w:t>
                  </w:r>
                  <w:r w:rsidR="00A22912" w:rsidRPr="00B033E9">
                    <w:rPr>
                      <w:rFonts w:ascii="Times New Roman" w:eastAsia="Times New Roman" w:hAnsi="Times New Roman" w:cs="Times New Roman"/>
                      <w:color w:val="000000"/>
                      <w:sz w:val="24"/>
                      <w:szCs w:val="24"/>
                    </w:rPr>
                    <w:t>00</w:t>
                  </w:r>
                  <w:r w:rsidRPr="00B033E9">
                    <w:rPr>
                      <w:rFonts w:ascii="Times New Roman" w:eastAsia="Times New Roman" w:hAnsi="Times New Roman" w:cs="Times New Roman"/>
                      <w:color w:val="000000"/>
                      <w:sz w:val="24"/>
                      <w:szCs w:val="24"/>
                    </w:rPr>
                    <w:t>,</w:t>
                  </w:r>
                  <w:r w:rsidR="00A22912" w:rsidRPr="00B033E9">
                    <w:rPr>
                      <w:rFonts w:ascii="Times New Roman" w:eastAsia="Times New Roman" w:hAnsi="Times New Roman" w:cs="Times New Roman"/>
                      <w:color w:val="000000"/>
                      <w:sz w:val="24"/>
                      <w:szCs w:val="24"/>
                    </w:rPr>
                    <w:t>0</w:t>
                  </w:r>
                  <w:r w:rsidRPr="00B033E9">
                    <w:rPr>
                      <w:rFonts w:ascii="Times New Roman" w:eastAsia="Times New Roman" w:hAnsi="Times New Roman" w:cs="Times New Roman"/>
                      <w:color w:val="000000"/>
                      <w:sz w:val="24"/>
                      <w:szCs w:val="24"/>
                    </w:rPr>
                    <w:t xml:space="preserve">00 </w:t>
                  </w:r>
                </w:p>
              </w:tc>
            </w:tr>
            <w:tr w:rsidR="004928DA" w:rsidRPr="00B033E9" w14:paraId="61230167" w14:textId="77777777" w:rsidTr="00573FD9">
              <w:trPr>
                <w:trHeight w:val="300"/>
              </w:trPr>
              <w:tc>
                <w:tcPr>
                  <w:tcW w:w="3852" w:type="dxa"/>
                  <w:tcBorders>
                    <w:top w:val="nil"/>
                    <w:left w:val="nil"/>
                    <w:bottom w:val="nil"/>
                    <w:right w:val="nil"/>
                  </w:tcBorders>
                  <w:shd w:val="clear" w:color="auto" w:fill="auto"/>
                  <w:noWrap/>
                  <w:vAlign w:val="bottom"/>
                  <w:hideMark/>
                </w:tcPr>
                <w:p w14:paraId="1D0B27DF" w14:textId="26E3B4CE" w:rsidR="00390D7B" w:rsidRPr="00B033E9" w:rsidRDefault="00390D7B" w:rsidP="00390D7B">
                  <w:pPr>
                    <w:spacing w:after="0" w:line="240" w:lineRule="auto"/>
                    <w:rPr>
                      <w:rFonts w:ascii="Times New Roman" w:eastAsia="Times New Roman" w:hAnsi="Times New Roman" w:cs="Times New Roman"/>
                      <w:b/>
                      <w:bCs/>
                      <w:color w:val="000000"/>
                      <w:sz w:val="24"/>
                      <w:szCs w:val="24"/>
                    </w:rPr>
                  </w:pPr>
                  <w:r w:rsidRPr="00B033E9">
                    <w:rPr>
                      <w:rFonts w:ascii="Times New Roman" w:eastAsia="Times New Roman" w:hAnsi="Times New Roman" w:cs="Times New Roman"/>
                      <w:color w:val="000000"/>
                      <w:sz w:val="24"/>
                      <w:szCs w:val="24"/>
                    </w:rPr>
                    <w:t>Interest Expense (</w:t>
                  </w:r>
                  <w:r w:rsidR="00463EF1" w:rsidRPr="00B033E9">
                    <w:rPr>
                      <w:rFonts w:ascii="Times New Roman" w:eastAsia="Times New Roman" w:hAnsi="Times New Roman" w:cs="Times New Roman"/>
                      <w:color w:val="000000"/>
                      <w:sz w:val="24"/>
                      <w:szCs w:val="24"/>
                    </w:rPr>
                    <w:t>PTP loan</w:t>
                  </w:r>
                  <w:r w:rsidRPr="00B033E9">
                    <w:rPr>
                      <w:rFonts w:ascii="Times New Roman" w:eastAsia="Times New Roman" w:hAnsi="Times New Roman" w:cs="Times New Roman"/>
                      <w:color w:val="000000"/>
                      <w:sz w:val="24"/>
                      <w:szCs w:val="24"/>
                    </w:rPr>
                    <w:t>)</w:t>
                  </w:r>
                </w:p>
              </w:tc>
              <w:tc>
                <w:tcPr>
                  <w:tcW w:w="1296" w:type="dxa"/>
                  <w:tcBorders>
                    <w:top w:val="nil"/>
                    <w:left w:val="nil"/>
                    <w:bottom w:val="single" w:sz="4" w:space="0" w:color="auto"/>
                    <w:right w:val="nil"/>
                  </w:tcBorders>
                  <w:shd w:val="clear" w:color="auto" w:fill="auto"/>
                  <w:noWrap/>
                  <w:vAlign w:val="bottom"/>
                  <w:hideMark/>
                </w:tcPr>
                <w:p w14:paraId="500554A7" w14:textId="66B78EF4" w:rsidR="00390D7B" w:rsidRPr="00B033E9" w:rsidRDefault="00390D7B" w:rsidP="00390D7B">
                  <w:pPr>
                    <w:spacing w:after="0" w:line="240" w:lineRule="auto"/>
                    <w:jc w:val="right"/>
                    <w:rPr>
                      <w:rFonts w:ascii="Times New Roman" w:eastAsia="Times New Roman" w:hAnsi="Times New Roman" w:cs="Times New Roman"/>
                      <w:sz w:val="24"/>
                      <w:szCs w:val="24"/>
                    </w:rPr>
                  </w:pPr>
                  <w:r w:rsidRPr="00B033E9">
                    <w:rPr>
                      <w:rFonts w:ascii="Times New Roman" w:eastAsia="Times New Roman" w:hAnsi="Times New Roman" w:cs="Times New Roman"/>
                      <w:color w:val="000000"/>
                      <w:sz w:val="24"/>
                      <w:szCs w:val="24"/>
                    </w:rPr>
                    <w:t xml:space="preserve">         </w:t>
                  </w:r>
                  <w:r w:rsidR="006802FF" w:rsidRPr="00B033E9">
                    <w:rPr>
                      <w:rFonts w:ascii="Times New Roman" w:eastAsia="Times New Roman" w:hAnsi="Times New Roman" w:cs="Times New Roman"/>
                      <w:color w:val="000000"/>
                      <w:sz w:val="24"/>
                      <w:szCs w:val="24"/>
                    </w:rPr>
                    <w:t>2</w:t>
                  </w:r>
                  <w:r w:rsidR="00B033E9" w:rsidRPr="00B033E9">
                    <w:rPr>
                      <w:rFonts w:ascii="Times New Roman" w:eastAsia="Times New Roman" w:hAnsi="Times New Roman" w:cs="Times New Roman"/>
                      <w:color w:val="000000"/>
                      <w:sz w:val="24"/>
                      <w:szCs w:val="24"/>
                    </w:rPr>
                    <w:t>82</w:t>
                  </w:r>
                  <w:r w:rsidRPr="00B033E9">
                    <w:rPr>
                      <w:rFonts w:ascii="Times New Roman" w:eastAsia="Times New Roman" w:hAnsi="Times New Roman" w:cs="Times New Roman"/>
                      <w:color w:val="000000"/>
                      <w:sz w:val="24"/>
                      <w:szCs w:val="24"/>
                    </w:rPr>
                    <w:t>,</w:t>
                  </w:r>
                  <w:r w:rsidR="00B033E9" w:rsidRPr="00B033E9">
                    <w:rPr>
                      <w:rFonts w:ascii="Times New Roman" w:eastAsia="Times New Roman" w:hAnsi="Times New Roman" w:cs="Times New Roman"/>
                      <w:color w:val="000000"/>
                      <w:sz w:val="24"/>
                      <w:szCs w:val="24"/>
                    </w:rPr>
                    <w:t>000</w:t>
                  </w:r>
                  <w:r w:rsidRPr="00B033E9">
                    <w:rPr>
                      <w:rFonts w:ascii="Times New Roman" w:eastAsia="Times New Roman" w:hAnsi="Times New Roman" w:cs="Times New Roman"/>
                      <w:color w:val="000000"/>
                      <w:sz w:val="24"/>
                      <w:szCs w:val="24"/>
                    </w:rPr>
                    <w:t xml:space="preserve"> </w:t>
                  </w:r>
                </w:p>
              </w:tc>
              <w:tc>
                <w:tcPr>
                  <w:tcW w:w="1296" w:type="dxa"/>
                  <w:tcBorders>
                    <w:top w:val="nil"/>
                    <w:left w:val="nil"/>
                    <w:bottom w:val="single" w:sz="4" w:space="0" w:color="auto"/>
                    <w:right w:val="nil"/>
                  </w:tcBorders>
                  <w:shd w:val="clear" w:color="auto" w:fill="auto"/>
                  <w:noWrap/>
                  <w:vAlign w:val="bottom"/>
                  <w:hideMark/>
                </w:tcPr>
                <w:p w14:paraId="778D5ECF" w14:textId="2DF48206" w:rsidR="00390D7B" w:rsidRPr="00B033E9" w:rsidRDefault="00390D7B" w:rsidP="00390D7B">
                  <w:pPr>
                    <w:spacing w:after="0" w:line="240" w:lineRule="auto"/>
                    <w:jc w:val="right"/>
                    <w:rPr>
                      <w:rFonts w:ascii="Times New Roman" w:eastAsia="Times New Roman" w:hAnsi="Times New Roman" w:cs="Times New Roman"/>
                      <w:sz w:val="24"/>
                      <w:szCs w:val="24"/>
                    </w:rPr>
                  </w:pPr>
                  <w:r w:rsidRPr="00B033E9">
                    <w:rPr>
                      <w:rFonts w:ascii="Times New Roman" w:eastAsia="Times New Roman" w:hAnsi="Times New Roman" w:cs="Times New Roman"/>
                      <w:color w:val="000000"/>
                      <w:sz w:val="24"/>
                      <w:szCs w:val="24"/>
                    </w:rPr>
                    <w:t xml:space="preserve">         </w:t>
                  </w:r>
                  <w:r w:rsidR="006802FF" w:rsidRPr="00B033E9">
                    <w:rPr>
                      <w:rFonts w:ascii="Times New Roman" w:eastAsia="Times New Roman" w:hAnsi="Times New Roman" w:cs="Times New Roman"/>
                      <w:color w:val="000000"/>
                      <w:sz w:val="24"/>
                      <w:szCs w:val="24"/>
                    </w:rPr>
                    <w:t>20</w:t>
                  </w:r>
                  <w:r w:rsidR="00B033E9" w:rsidRPr="00B033E9">
                    <w:rPr>
                      <w:rFonts w:ascii="Times New Roman" w:eastAsia="Times New Roman" w:hAnsi="Times New Roman" w:cs="Times New Roman"/>
                      <w:color w:val="000000"/>
                      <w:sz w:val="24"/>
                      <w:szCs w:val="24"/>
                    </w:rPr>
                    <w:t>4</w:t>
                  </w:r>
                  <w:r w:rsidRPr="00B033E9">
                    <w:rPr>
                      <w:rFonts w:ascii="Times New Roman" w:eastAsia="Times New Roman" w:hAnsi="Times New Roman" w:cs="Times New Roman"/>
                      <w:color w:val="000000"/>
                      <w:sz w:val="24"/>
                      <w:szCs w:val="24"/>
                    </w:rPr>
                    <w:t>,</w:t>
                  </w:r>
                  <w:r w:rsidR="00B033E9" w:rsidRPr="00B033E9">
                    <w:rPr>
                      <w:rFonts w:ascii="Times New Roman" w:eastAsia="Times New Roman" w:hAnsi="Times New Roman" w:cs="Times New Roman"/>
                      <w:color w:val="000000"/>
                      <w:sz w:val="24"/>
                      <w:szCs w:val="24"/>
                    </w:rPr>
                    <w:t>000</w:t>
                  </w:r>
                  <w:r w:rsidRPr="00B033E9">
                    <w:rPr>
                      <w:rFonts w:ascii="Times New Roman" w:eastAsia="Times New Roman" w:hAnsi="Times New Roman" w:cs="Times New Roman"/>
                      <w:color w:val="000000"/>
                      <w:sz w:val="24"/>
                      <w:szCs w:val="24"/>
                    </w:rPr>
                    <w:t xml:space="preserve"> </w:t>
                  </w:r>
                </w:p>
              </w:tc>
              <w:tc>
                <w:tcPr>
                  <w:tcW w:w="1296" w:type="dxa"/>
                  <w:tcBorders>
                    <w:top w:val="nil"/>
                    <w:left w:val="nil"/>
                    <w:bottom w:val="single" w:sz="4" w:space="0" w:color="auto"/>
                    <w:right w:val="nil"/>
                  </w:tcBorders>
                  <w:shd w:val="clear" w:color="auto" w:fill="auto"/>
                  <w:noWrap/>
                  <w:vAlign w:val="bottom"/>
                  <w:hideMark/>
                </w:tcPr>
                <w:p w14:paraId="057B2ABB" w14:textId="33796E10" w:rsidR="00390D7B" w:rsidRPr="00B033E9" w:rsidRDefault="00390D7B" w:rsidP="00390D7B">
                  <w:pPr>
                    <w:spacing w:after="0" w:line="240" w:lineRule="auto"/>
                    <w:jc w:val="right"/>
                    <w:rPr>
                      <w:rFonts w:ascii="Times New Roman" w:eastAsia="Times New Roman" w:hAnsi="Times New Roman" w:cs="Times New Roman"/>
                      <w:sz w:val="24"/>
                      <w:szCs w:val="24"/>
                    </w:rPr>
                  </w:pPr>
                  <w:r w:rsidRPr="00B033E9">
                    <w:rPr>
                      <w:rFonts w:ascii="Times New Roman" w:eastAsia="Times New Roman" w:hAnsi="Times New Roman" w:cs="Times New Roman"/>
                      <w:color w:val="000000"/>
                      <w:sz w:val="24"/>
                      <w:szCs w:val="24"/>
                    </w:rPr>
                    <w:t xml:space="preserve">         </w:t>
                  </w:r>
                  <w:r w:rsidR="006802FF" w:rsidRPr="00B033E9">
                    <w:rPr>
                      <w:rFonts w:ascii="Times New Roman" w:eastAsia="Times New Roman" w:hAnsi="Times New Roman" w:cs="Times New Roman"/>
                      <w:color w:val="000000"/>
                      <w:sz w:val="24"/>
                      <w:szCs w:val="24"/>
                    </w:rPr>
                    <w:t>1</w:t>
                  </w:r>
                  <w:r w:rsidR="00B033E9" w:rsidRPr="00B033E9">
                    <w:rPr>
                      <w:rFonts w:ascii="Times New Roman" w:eastAsia="Times New Roman" w:hAnsi="Times New Roman" w:cs="Times New Roman"/>
                      <w:color w:val="000000"/>
                      <w:sz w:val="24"/>
                      <w:szCs w:val="24"/>
                    </w:rPr>
                    <w:t>62</w:t>
                  </w:r>
                  <w:r w:rsidRPr="00B033E9">
                    <w:rPr>
                      <w:rFonts w:ascii="Times New Roman" w:eastAsia="Times New Roman" w:hAnsi="Times New Roman" w:cs="Times New Roman"/>
                      <w:color w:val="000000"/>
                      <w:sz w:val="24"/>
                      <w:szCs w:val="24"/>
                    </w:rPr>
                    <w:t>,</w:t>
                  </w:r>
                  <w:r w:rsidR="00B033E9" w:rsidRPr="00B033E9">
                    <w:rPr>
                      <w:rFonts w:ascii="Times New Roman" w:eastAsia="Times New Roman" w:hAnsi="Times New Roman" w:cs="Times New Roman"/>
                      <w:color w:val="000000"/>
                      <w:sz w:val="24"/>
                      <w:szCs w:val="24"/>
                    </w:rPr>
                    <w:t>000</w:t>
                  </w:r>
                  <w:r w:rsidRPr="00B033E9">
                    <w:rPr>
                      <w:rFonts w:ascii="Times New Roman" w:eastAsia="Times New Roman" w:hAnsi="Times New Roman" w:cs="Times New Roman"/>
                      <w:color w:val="000000"/>
                      <w:sz w:val="24"/>
                      <w:szCs w:val="24"/>
                    </w:rPr>
                    <w:t xml:space="preserve"> </w:t>
                  </w:r>
                </w:p>
              </w:tc>
            </w:tr>
            <w:tr w:rsidR="004928DA" w:rsidRPr="00B033E9" w14:paraId="25B2B9BB" w14:textId="77777777" w:rsidTr="00573FD9">
              <w:trPr>
                <w:trHeight w:val="300"/>
              </w:trPr>
              <w:tc>
                <w:tcPr>
                  <w:tcW w:w="3852" w:type="dxa"/>
                  <w:tcBorders>
                    <w:top w:val="nil"/>
                    <w:left w:val="nil"/>
                    <w:bottom w:val="nil"/>
                    <w:right w:val="nil"/>
                  </w:tcBorders>
                  <w:shd w:val="clear" w:color="auto" w:fill="auto"/>
                  <w:noWrap/>
                  <w:vAlign w:val="bottom"/>
                  <w:hideMark/>
                </w:tcPr>
                <w:p w14:paraId="16F9B279" w14:textId="5D8E2E97" w:rsidR="00390D7B" w:rsidRPr="00B033E9" w:rsidRDefault="00390D7B" w:rsidP="00390D7B">
                  <w:pPr>
                    <w:spacing w:after="0" w:line="240" w:lineRule="auto"/>
                    <w:rPr>
                      <w:rFonts w:ascii="Times New Roman" w:eastAsia="Times New Roman" w:hAnsi="Times New Roman" w:cs="Times New Roman"/>
                      <w:color w:val="000000"/>
                      <w:sz w:val="24"/>
                      <w:szCs w:val="24"/>
                    </w:rPr>
                  </w:pPr>
                  <w:r w:rsidRPr="00B033E9">
                    <w:rPr>
                      <w:rFonts w:ascii="Times New Roman" w:eastAsia="Times New Roman" w:hAnsi="Times New Roman" w:cs="Times New Roman"/>
                      <w:b/>
                      <w:bCs/>
                      <w:color w:val="000000"/>
                      <w:sz w:val="24"/>
                      <w:szCs w:val="24"/>
                    </w:rPr>
                    <w:t xml:space="preserve">Total Non-Operating </w:t>
                  </w:r>
                  <w:r w:rsidR="00FA4326">
                    <w:rPr>
                      <w:rFonts w:ascii="Times New Roman" w:eastAsia="Times New Roman" w:hAnsi="Times New Roman" w:cs="Times New Roman"/>
                      <w:b/>
                      <w:bCs/>
                      <w:color w:val="000000"/>
                      <w:sz w:val="24"/>
                      <w:szCs w:val="24"/>
                    </w:rPr>
                    <w:t>Expense</w:t>
                  </w:r>
                </w:p>
              </w:tc>
              <w:tc>
                <w:tcPr>
                  <w:tcW w:w="1296" w:type="dxa"/>
                  <w:tcBorders>
                    <w:top w:val="nil"/>
                    <w:left w:val="nil"/>
                    <w:right w:val="nil"/>
                  </w:tcBorders>
                  <w:shd w:val="clear" w:color="auto" w:fill="auto"/>
                  <w:noWrap/>
                  <w:vAlign w:val="bottom"/>
                  <w:hideMark/>
                </w:tcPr>
                <w:p w14:paraId="04408E92" w14:textId="2B6FAB78"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b/>
                      <w:bCs/>
                      <w:color w:val="000000"/>
                      <w:sz w:val="24"/>
                      <w:szCs w:val="24"/>
                    </w:rPr>
                    <w:t xml:space="preserve">     2,</w:t>
                  </w:r>
                  <w:r w:rsidR="004928DA">
                    <w:rPr>
                      <w:rFonts w:ascii="Times New Roman" w:eastAsia="Times New Roman" w:hAnsi="Times New Roman" w:cs="Times New Roman"/>
                      <w:b/>
                      <w:bCs/>
                      <w:color w:val="000000"/>
                      <w:sz w:val="24"/>
                      <w:szCs w:val="24"/>
                    </w:rPr>
                    <w:t>382</w:t>
                  </w:r>
                  <w:r w:rsidRPr="00B033E9">
                    <w:rPr>
                      <w:rFonts w:ascii="Times New Roman" w:eastAsia="Times New Roman" w:hAnsi="Times New Roman" w:cs="Times New Roman"/>
                      <w:b/>
                      <w:bCs/>
                      <w:color w:val="000000"/>
                      <w:sz w:val="24"/>
                      <w:szCs w:val="24"/>
                    </w:rPr>
                    <w:t xml:space="preserve">,000 </w:t>
                  </w:r>
                </w:p>
              </w:tc>
              <w:tc>
                <w:tcPr>
                  <w:tcW w:w="1296" w:type="dxa"/>
                  <w:tcBorders>
                    <w:top w:val="nil"/>
                    <w:left w:val="nil"/>
                    <w:right w:val="nil"/>
                  </w:tcBorders>
                  <w:shd w:val="clear" w:color="auto" w:fill="auto"/>
                  <w:noWrap/>
                  <w:vAlign w:val="bottom"/>
                  <w:hideMark/>
                </w:tcPr>
                <w:p w14:paraId="3BAA3CDF" w14:textId="428C2A36"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b/>
                      <w:bCs/>
                      <w:color w:val="000000"/>
                      <w:sz w:val="24"/>
                      <w:szCs w:val="24"/>
                    </w:rPr>
                    <w:t xml:space="preserve">     2,</w:t>
                  </w:r>
                  <w:r w:rsidR="00B033E9" w:rsidRPr="00B033E9">
                    <w:rPr>
                      <w:rFonts w:ascii="Times New Roman" w:eastAsia="Times New Roman" w:hAnsi="Times New Roman" w:cs="Times New Roman"/>
                      <w:b/>
                      <w:bCs/>
                      <w:color w:val="000000"/>
                      <w:sz w:val="24"/>
                      <w:szCs w:val="24"/>
                    </w:rPr>
                    <w:t>204</w:t>
                  </w:r>
                  <w:r w:rsidRPr="00B033E9">
                    <w:rPr>
                      <w:rFonts w:ascii="Times New Roman" w:eastAsia="Times New Roman" w:hAnsi="Times New Roman" w:cs="Times New Roman"/>
                      <w:b/>
                      <w:bCs/>
                      <w:color w:val="000000"/>
                      <w:sz w:val="24"/>
                      <w:szCs w:val="24"/>
                    </w:rPr>
                    <w:t>,</w:t>
                  </w:r>
                  <w:r w:rsidR="00A22912" w:rsidRPr="00B033E9">
                    <w:rPr>
                      <w:rFonts w:ascii="Times New Roman" w:eastAsia="Times New Roman" w:hAnsi="Times New Roman" w:cs="Times New Roman"/>
                      <w:b/>
                      <w:bCs/>
                      <w:color w:val="000000"/>
                      <w:sz w:val="24"/>
                      <w:szCs w:val="24"/>
                    </w:rPr>
                    <w:t>0</w:t>
                  </w:r>
                  <w:r w:rsidRPr="00B033E9">
                    <w:rPr>
                      <w:rFonts w:ascii="Times New Roman" w:eastAsia="Times New Roman" w:hAnsi="Times New Roman" w:cs="Times New Roman"/>
                      <w:b/>
                      <w:bCs/>
                      <w:color w:val="000000"/>
                      <w:sz w:val="24"/>
                      <w:szCs w:val="24"/>
                    </w:rPr>
                    <w:t xml:space="preserve">00 </w:t>
                  </w:r>
                </w:p>
              </w:tc>
              <w:tc>
                <w:tcPr>
                  <w:tcW w:w="1296" w:type="dxa"/>
                  <w:tcBorders>
                    <w:top w:val="nil"/>
                    <w:left w:val="nil"/>
                    <w:right w:val="nil"/>
                  </w:tcBorders>
                  <w:shd w:val="clear" w:color="auto" w:fill="auto"/>
                  <w:noWrap/>
                  <w:vAlign w:val="bottom"/>
                  <w:hideMark/>
                </w:tcPr>
                <w:p w14:paraId="0CEE1BF2" w14:textId="0584F05D"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b/>
                      <w:bCs/>
                      <w:color w:val="000000"/>
                      <w:sz w:val="24"/>
                      <w:szCs w:val="24"/>
                    </w:rPr>
                    <w:t xml:space="preserve">     2,</w:t>
                  </w:r>
                  <w:r w:rsidR="00B033E9" w:rsidRPr="00B033E9">
                    <w:rPr>
                      <w:rFonts w:ascii="Times New Roman" w:eastAsia="Times New Roman" w:hAnsi="Times New Roman" w:cs="Times New Roman"/>
                      <w:b/>
                      <w:bCs/>
                      <w:color w:val="000000"/>
                      <w:sz w:val="24"/>
                      <w:szCs w:val="24"/>
                    </w:rPr>
                    <w:t>262</w:t>
                  </w:r>
                  <w:r w:rsidRPr="00B033E9">
                    <w:rPr>
                      <w:rFonts w:ascii="Times New Roman" w:eastAsia="Times New Roman" w:hAnsi="Times New Roman" w:cs="Times New Roman"/>
                      <w:b/>
                      <w:bCs/>
                      <w:color w:val="000000"/>
                      <w:sz w:val="24"/>
                      <w:szCs w:val="24"/>
                    </w:rPr>
                    <w:t>,</w:t>
                  </w:r>
                  <w:r w:rsidR="00A22912" w:rsidRPr="00B033E9">
                    <w:rPr>
                      <w:rFonts w:ascii="Times New Roman" w:eastAsia="Times New Roman" w:hAnsi="Times New Roman" w:cs="Times New Roman"/>
                      <w:b/>
                      <w:bCs/>
                      <w:color w:val="000000"/>
                      <w:sz w:val="24"/>
                      <w:szCs w:val="24"/>
                    </w:rPr>
                    <w:t>0</w:t>
                  </w:r>
                  <w:r w:rsidRPr="00B033E9">
                    <w:rPr>
                      <w:rFonts w:ascii="Times New Roman" w:eastAsia="Times New Roman" w:hAnsi="Times New Roman" w:cs="Times New Roman"/>
                      <w:b/>
                      <w:bCs/>
                      <w:color w:val="000000"/>
                      <w:sz w:val="24"/>
                      <w:szCs w:val="24"/>
                    </w:rPr>
                    <w:t xml:space="preserve">00 </w:t>
                  </w:r>
                </w:p>
              </w:tc>
            </w:tr>
            <w:tr w:rsidR="004928DA" w:rsidRPr="00B033E9" w14:paraId="7E04E464" w14:textId="77777777" w:rsidTr="00573FD9">
              <w:trPr>
                <w:trHeight w:val="300"/>
              </w:trPr>
              <w:tc>
                <w:tcPr>
                  <w:tcW w:w="3852" w:type="dxa"/>
                  <w:tcBorders>
                    <w:top w:val="nil"/>
                    <w:left w:val="nil"/>
                    <w:right w:val="nil"/>
                  </w:tcBorders>
                  <w:shd w:val="clear" w:color="auto" w:fill="auto"/>
                  <w:noWrap/>
                  <w:vAlign w:val="bottom"/>
                  <w:hideMark/>
                </w:tcPr>
                <w:p w14:paraId="548BF1DB" w14:textId="77777777" w:rsidR="00390D7B" w:rsidRPr="00B033E9" w:rsidRDefault="00390D7B" w:rsidP="00390D7B">
                  <w:pPr>
                    <w:spacing w:after="0" w:line="240" w:lineRule="auto"/>
                    <w:rPr>
                      <w:rFonts w:ascii="Times New Roman" w:eastAsia="Times New Roman" w:hAnsi="Times New Roman" w:cs="Times New Roman"/>
                      <w:color w:val="000000"/>
                      <w:sz w:val="24"/>
                      <w:szCs w:val="24"/>
                    </w:rPr>
                  </w:pPr>
                  <w:r w:rsidRPr="00B033E9">
                    <w:rPr>
                      <w:rFonts w:ascii="Times New Roman" w:eastAsia="Times New Roman" w:hAnsi="Times New Roman" w:cs="Times New Roman"/>
                      <w:b/>
                      <w:bCs/>
                      <w:color w:val="000000"/>
                      <w:sz w:val="24"/>
                      <w:szCs w:val="24"/>
                    </w:rPr>
                    <w:t>Net Income</w:t>
                  </w:r>
                </w:p>
              </w:tc>
              <w:tc>
                <w:tcPr>
                  <w:tcW w:w="1296" w:type="dxa"/>
                  <w:tcBorders>
                    <w:top w:val="single" w:sz="4" w:space="0" w:color="auto"/>
                    <w:left w:val="nil"/>
                    <w:right w:val="nil"/>
                  </w:tcBorders>
                  <w:shd w:val="clear" w:color="auto" w:fill="auto"/>
                  <w:noWrap/>
                  <w:vAlign w:val="bottom"/>
                  <w:hideMark/>
                </w:tcPr>
                <w:p w14:paraId="17CA3DDF" w14:textId="0883E67D"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b/>
                      <w:bCs/>
                      <w:color w:val="000000"/>
                      <w:sz w:val="24"/>
                      <w:szCs w:val="24"/>
                    </w:rPr>
                    <w:t xml:space="preserve">    </w:t>
                  </w:r>
                  <w:r w:rsidR="004928DA">
                    <w:rPr>
                      <w:rFonts w:ascii="Times New Roman" w:eastAsia="Times New Roman" w:hAnsi="Times New Roman" w:cs="Times New Roman"/>
                      <w:b/>
                      <w:bCs/>
                      <w:color w:val="000000"/>
                      <w:sz w:val="24"/>
                      <w:szCs w:val="24"/>
                    </w:rPr>
                    <w:t>3</w:t>
                  </w:r>
                  <w:r w:rsidR="0073786F" w:rsidRPr="00B033E9">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107</w:t>
                  </w:r>
                  <w:r w:rsidR="0073786F" w:rsidRPr="00B033E9">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750</w:t>
                  </w:r>
                  <w:r w:rsidRPr="00B033E9">
                    <w:rPr>
                      <w:rFonts w:ascii="Times New Roman" w:eastAsia="Times New Roman" w:hAnsi="Times New Roman" w:cs="Times New Roman"/>
                      <w:b/>
                      <w:bCs/>
                      <w:color w:val="000000"/>
                      <w:sz w:val="24"/>
                      <w:szCs w:val="24"/>
                    </w:rPr>
                    <w:t xml:space="preserve"> </w:t>
                  </w:r>
                </w:p>
              </w:tc>
              <w:tc>
                <w:tcPr>
                  <w:tcW w:w="1296" w:type="dxa"/>
                  <w:tcBorders>
                    <w:top w:val="single" w:sz="4" w:space="0" w:color="auto"/>
                    <w:left w:val="nil"/>
                    <w:right w:val="nil"/>
                  </w:tcBorders>
                  <w:shd w:val="clear" w:color="auto" w:fill="auto"/>
                  <w:noWrap/>
                  <w:vAlign w:val="bottom"/>
                  <w:hideMark/>
                </w:tcPr>
                <w:p w14:paraId="44B44949" w14:textId="1D43DE59"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b/>
                      <w:bCs/>
                      <w:color w:val="000000"/>
                      <w:sz w:val="24"/>
                      <w:szCs w:val="24"/>
                    </w:rPr>
                    <w:t xml:space="preserve">    </w:t>
                  </w:r>
                  <w:r w:rsidR="00B033E9" w:rsidRPr="00B033E9">
                    <w:rPr>
                      <w:rFonts w:ascii="Times New Roman" w:eastAsia="Times New Roman" w:hAnsi="Times New Roman" w:cs="Times New Roman"/>
                      <w:b/>
                      <w:bCs/>
                      <w:color w:val="000000"/>
                      <w:sz w:val="24"/>
                      <w:szCs w:val="24"/>
                    </w:rPr>
                    <w:t>3</w:t>
                  </w:r>
                  <w:r w:rsidR="0073786F" w:rsidRPr="00B033E9">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309</w:t>
                  </w:r>
                  <w:r w:rsidR="006802FF" w:rsidRPr="00B033E9">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570</w:t>
                  </w:r>
                  <w:r w:rsidRPr="00B033E9">
                    <w:rPr>
                      <w:rFonts w:ascii="Times New Roman" w:eastAsia="Times New Roman" w:hAnsi="Times New Roman" w:cs="Times New Roman"/>
                      <w:b/>
                      <w:bCs/>
                      <w:color w:val="000000"/>
                      <w:sz w:val="24"/>
                      <w:szCs w:val="24"/>
                    </w:rPr>
                    <w:t xml:space="preserve"> </w:t>
                  </w:r>
                </w:p>
              </w:tc>
              <w:tc>
                <w:tcPr>
                  <w:tcW w:w="1296" w:type="dxa"/>
                  <w:tcBorders>
                    <w:top w:val="single" w:sz="4" w:space="0" w:color="auto"/>
                    <w:left w:val="nil"/>
                    <w:right w:val="nil"/>
                  </w:tcBorders>
                  <w:shd w:val="clear" w:color="auto" w:fill="auto"/>
                  <w:noWrap/>
                  <w:vAlign w:val="bottom"/>
                  <w:hideMark/>
                </w:tcPr>
                <w:p w14:paraId="536C54FA" w14:textId="10F5E4EF" w:rsidR="00390D7B" w:rsidRPr="00B033E9" w:rsidRDefault="00390D7B" w:rsidP="00390D7B">
                  <w:pPr>
                    <w:spacing w:after="0" w:line="240" w:lineRule="auto"/>
                    <w:jc w:val="right"/>
                    <w:rPr>
                      <w:rFonts w:ascii="Times New Roman" w:eastAsia="Times New Roman" w:hAnsi="Times New Roman" w:cs="Times New Roman"/>
                      <w:color w:val="000000"/>
                      <w:sz w:val="24"/>
                      <w:szCs w:val="24"/>
                    </w:rPr>
                  </w:pPr>
                  <w:r w:rsidRPr="00B033E9">
                    <w:rPr>
                      <w:rFonts w:ascii="Times New Roman" w:eastAsia="Times New Roman" w:hAnsi="Times New Roman" w:cs="Times New Roman"/>
                      <w:b/>
                      <w:bCs/>
                      <w:color w:val="000000"/>
                      <w:sz w:val="24"/>
                      <w:szCs w:val="24"/>
                    </w:rPr>
                    <w:t xml:space="preserve">     </w:t>
                  </w:r>
                  <w:r w:rsidR="004928DA">
                    <w:rPr>
                      <w:rFonts w:ascii="Times New Roman" w:eastAsia="Times New Roman" w:hAnsi="Times New Roman" w:cs="Times New Roman"/>
                      <w:b/>
                      <w:bCs/>
                      <w:color w:val="000000"/>
                      <w:sz w:val="24"/>
                      <w:szCs w:val="24"/>
                    </w:rPr>
                    <w:t>4</w:t>
                  </w:r>
                  <w:r w:rsidR="00A22912" w:rsidRPr="00B033E9">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030</w:t>
                  </w:r>
                  <w:r w:rsidR="006802FF" w:rsidRPr="00B033E9">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718</w:t>
                  </w:r>
                  <w:r w:rsidRPr="00B033E9">
                    <w:rPr>
                      <w:rFonts w:ascii="Times New Roman" w:eastAsia="Times New Roman" w:hAnsi="Times New Roman" w:cs="Times New Roman"/>
                      <w:b/>
                      <w:bCs/>
                      <w:color w:val="000000"/>
                      <w:sz w:val="24"/>
                      <w:szCs w:val="24"/>
                    </w:rPr>
                    <w:t xml:space="preserve"> </w:t>
                  </w:r>
                </w:p>
              </w:tc>
            </w:tr>
            <w:tr w:rsidR="004928DA" w:rsidRPr="00B033E9" w14:paraId="6BC1D3E3" w14:textId="77777777" w:rsidTr="00573FD9">
              <w:trPr>
                <w:trHeight w:val="300"/>
              </w:trPr>
              <w:tc>
                <w:tcPr>
                  <w:tcW w:w="3852" w:type="dxa"/>
                  <w:tcBorders>
                    <w:left w:val="nil"/>
                    <w:right w:val="nil"/>
                  </w:tcBorders>
                  <w:shd w:val="clear" w:color="auto" w:fill="auto"/>
                  <w:noWrap/>
                  <w:vAlign w:val="bottom"/>
                  <w:hideMark/>
                </w:tcPr>
                <w:p w14:paraId="1CBACDE9" w14:textId="77777777" w:rsidR="002446C3" w:rsidRPr="00B033E9" w:rsidRDefault="002446C3" w:rsidP="00C73E7E">
                  <w:pPr>
                    <w:spacing w:after="0" w:line="240" w:lineRule="auto"/>
                    <w:rPr>
                      <w:rFonts w:ascii="Times New Roman" w:eastAsia="Times New Roman" w:hAnsi="Times New Roman" w:cs="Times New Roman"/>
                      <w:b/>
                      <w:bCs/>
                      <w:color w:val="000000"/>
                      <w:sz w:val="24"/>
                      <w:szCs w:val="24"/>
                    </w:rPr>
                  </w:pPr>
                </w:p>
              </w:tc>
              <w:tc>
                <w:tcPr>
                  <w:tcW w:w="1296" w:type="dxa"/>
                  <w:tcBorders>
                    <w:left w:val="nil"/>
                    <w:right w:val="nil"/>
                  </w:tcBorders>
                  <w:shd w:val="clear" w:color="auto" w:fill="auto"/>
                  <w:noWrap/>
                  <w:vAlign w:val="bottom"/>
                  <w:hideMark/>
                </w:tcPr>
                <w:p w14:paraId="457A279B" w14:textId="77777777" w:rsidR="002446C3" w:rsidRPr="00B033E9" w:rsidRDefault="002446C3" w:rsidP="00C73E7E">
                  <w:pPr>
                    <w:spacing w:after="0" w:line="240" w:lineRule="auto"/>
                    <w:jc w:val="right"/>
                    <w:rPr>
                      <w:rFonts w:ascii="Times New Roman" w:eastAsia="Times New Roman" w:hAnsi="Times New Roman" w:cs="Times New Roman"/>
                      <w:b/>
                      <w:bCs/>
                      <w:color w:val="000000"/>
                      <w:sz w:val="24"/>
                      <w:szCs w:val="24"/>
                    </w:rPr>
                  </w:pPr>
                </w:p>
              </w:tc>
              <w:tc>
                <w:tcPr>
                  <w:tcW w:w="1296" w:type="dxa"/>
                  <w:tcBorders>
                    <w:left w:val="nil"/>
                    <w:right w:val="nil"/>
                  </w:tcBorders>
                  <w:shd w:val="clear" w:color="auto" w:fill="auto"/>
                  <w:noWrap/>
                  <w:vAlign w:val="bottom"/>
                  <w:hideMark/>
                </w:tcPr>
                <w:p w14:paraId="7A4E357B" w14:textId="77777777" w:rsidR="002446C3" w:rsidRPr="00B033E9" w:rsidRDefault="002446C3" w:rsidP="00C73E7E">
                  <w:pPr>
                    <w:spacing w:after="0" w:line="240" w:lineRule="auto"/>
                    <w:jc w:val="right"/>
                    <w:rPr>
                      <w:rFonts w:ascii="Times New Roman" w:eastAsia="Times New Roman" w:hAnsi="Times New Roman" w:cs="Times New Roman"/>
                      <w:b/>
                      <w:bCs/>
                      <w:color w:val="000000"/>
                      <w:sz w:val="24"/>
                      <w:szCs w:val="24"/>
                    </w:rPr>
                  </w:pPr>
                </w:p>
              </w:tc>
              <w:tc>
                <w:tcPr>
                  <w:tcW w:w="1296" w:type="dxa"/>
                  <w:tcBorders>
                    <w:left w:val="nil"/>
                    <w:right w:val="nil"/>
                  </w:tcBorders>
                  <w:shd w:val="clear" w:color="auto" w:fill="auto"/>
                  <w:noWrap/>
                  <w:vAlign w:val="bottom"/>
                  <w:hideMark/>
                </w:tcPr>
                <w:p w14:paraId="25669729" w14:textId="77777777" w:rsidR="002446C3" w:rsidRPr="00B033E9" w:rsidRDefault="002446C3" w:rsidP="00C73E7E">
                  <w:pPr>
                    <w:spacing w:after="0" w:line="240" w:lineRule="auto"/>
                    <w:jc w:val="right"/>
                    <w:rPr>
                      <w:rFonts w:ascii="Times New Roman" w:eastAsia="Times New Roman" w:hAnsi="Times New Roman" w:cs="Times New Roman"/>
                      <w:b/>
                      <w:bCs/>
                      <w:color w:val="000000"/>
                      <w:sz w:val="24"/>
                      <w:szCs w:val="24"/>
                    </w:rPr>
                  </w:pPr>
                </w:p>
              </w:tc>
            </w:tr>
            <w:tr w:rsidR="004928DA" w:rsidRPr="00B033E9" w14:paraId="2658355A" w14:textId="77777777" w:rsidTr="00695B60">
              <w:trPr>
                <w:trHeight w:val="300"/>
              </w:trPr>
              <w:tc>
                <w:tcPr>
                  <w:tcW w:w="3852" w:type="dxa"/>
                  <w:tcBorders>
                    <w:left w:val="nil"/>
                    <w:right w:val="nil"/>
                  </w:tcBorders>
                  <w:shd w:val="clear" w:color="auto" w:fill="auto"/>
                  <w:noWrap/>
                  <w:vAlign w:val="bottom"/>
                </w:tcPr>
                <w:p w14:paraId="05EA9D0F" w14:textId="77777777" w:rsidR="00573FD9" w:rsidRPr="00B033E9" w:rsidRDefault="00573FD9" w:rsidP="00C73E7E">
                  <w:pPr>
                    <w:spacing w:after="0" w:line="240" w:lineRule="auto"/>
                    <w:rPr>
                      <w:rFonts w:ascii="Times New Roman" w:eastAsia="Times New Roman" w:hAnsi="Times New Roman" w:cs="Times New Roman"/>
                      <w:b/>
                      <w:bCs/>
                      <w:color w:val="000000"/>
                      <w:sz w:val="24"/>
                      <w:szCs w:val="24"/>
                    </w:rPr>
                  </w:pPr>
                </w:p>
              </w:tc>
              <w:tc>
                <w:tcPr>
                  <w:tcW w:w="1296" w:type="dxa"/>
                  <w:tcBorders>
                    <w:left w:val="nil"/>
                    <w:right w:val="nil"/>
                  </w:tcBorders>
                  <w:shd w:val="clear" w:color="auto" w:fill="auto"/>
                  <w:noWrap/>
                  <w:vAlign w:val="bottom"/>
                </w:tcPr>
                <w:p w14:paraId="14980A04" w14:textId="77777777" w:rsidR="00573FD9" w:rsidRPr="00B033E9" w:rsidRDefault="00573FD9" w:rsidP="00C73E7E">
                  <w:pPr>
                    <w:spacing w:after="0" w:line="240" w:lineRule="auto"/>
                    <w:jc w:val="right"/>
                    <w:rPr>
                      <w:rFonts w:ascii="Times New Roman" w:eastAsia="Times New Roman" w:hAnsi="Times New Roman" w:cs="Times New Roman"/>
                      <w:sz w:val="24"/>
                      <w:szCs w:val="24"/>
                    </w:rPr>
                  </w:pPr>
                </w:p>
              </w:tc>
              <w:tc>
                <w:tcPr>
                  <w:tcW w:w="1296" w:type="dxa"/>
                  <w:tcBorders>
                    <w:left w:val="nil"/>
                    <w:right w:val="nil"/>
                  </w:tcBorders>
                  <w:shd w:val="clear" w:color="auto" w:fill="auto"/>
                  <w:noWrap/>
                  <w:vAlign w:val="bottom"/>
                </w:tcPr>
                <w:p w14:paraId="27C4EC75" w14:textId="77777777" w:rsidR="00573FD9" w:rsidRPr="00B033E9" w:rsidRDefault="00573FD9" w:rsidP="00C73E7E">
                  <w:pPr>
                    <w:spacing w:after="0" w:line="240" w:lineRule="auto"/>
                    <w:jc w:val="right"/>
                    <w:rPr>
                      <w:rFonts w:ascii="Times New Roman" w:eastAsia="Times New Roman" w:hAnsi="Times New Roman" w:cs="Times New Roman"/>
                      <w:sz w:val="24"/>
                      <w:szCs w:val="24"/>
                    </w:rPr>
                  </w:pPr>
                </w:p>
              </w:tc>
              <w:tc>
                <w:tcPr>
                  <w:tcW w:w="1296" w:type="dxa"/>
                  <w:tcBorders>
                    <w:left w:val="nil"/>
                    <w:right w:val="nil"/>
                  </w:tcBorders>
                  <w:shd w:val="clear" w:color="auto" w:fill="auto"/>
                  <w:noWrap/>
                  <w:vAlign w:val="bottom"/>
                </w:tcPr>
                <w:p w14:paraId="48B01666" w14:textId="77777777" w:rsidR="00573FD9" w:rsidRPr="00B033E9" w:rsidRDefault="00573FD9" w:rsidP="00C73E7E">
                  <w:pPr>
                    <w:spacing w:after="0" w:line="240" w:lineRule="auto"/>
                    <w:jc w:val="right"/>
                    <w:rPr>
                      <w:rFonts w:ascii="Times New Roman" w:eastAsia="Times New Roman" w:hAnsi="Times New Roman" w:cs="Times New Roman"/>
                      <w:sz w:val="24"/>
                      <w:szCs w:val="24"/>
                    </w:rPr>
                  </w:pPr>
                </w:p>
              </w:tc>
            </w:tr>
            <w:tr w:rsidR="004928DA" w:rsidRPr="00B033E9" w14:paraId="4ACDEE77" w14:textId="77777777" w:rsidTr="00573FD9">
              <w:trPr>
                <w:trHeight w:val="315"/>
              </w:trPr>
              <w:tc>
                <w:tcPr>
                  <w:tcW w:w="3852" w:type="dxa"/>
                  <w:tcBorders>
                    <w:left w:val="nil"/>
                    <w:right w:val="nil"/>
                  </w:tcBorders>
                  <w:shd w:val="clear" w:color="auto" w:fill="auto"/>
                  <w:noWrap/>
                  <w:vAlign w:val="bottom"/>
                </w:tcPr>
                <w:p w14:paraId="21037F8F" w14:textId="77777777" w:rsidR="00573FD9" w:rsidRPr="00B033E9" w:rsidRDefault="00573FD9" w:rsidP="00573FD9">
                  <w:pPr>
                    <w:spacing w:after="0" w:line="240" w:lineRule="auto"/>
                    <w:rPr>
                      <w:rFonts w:ascii="Times New Roman" w:eastAsia="Times New Roman" w:hAnsi="Times New Roman" w:cs="Times New Roman"/>
                      <w:b/>
                      <w:bCs/>
                      <w:color w:val="000000"/>
                      <w:sz w:val="24"/>
                      <w:szCs w:val="24"/>
                    </w:rPr>
                  </w:pPr>
                </w:p>
              </w:tc>
              <w:tc>
                <w:tcPr>
                  <w:tcW w:w="1296" w:type="dxa"/>
                  <w:tcBorders>
                    <w:left w:val="nil"/>
                    <w:right w:val="nil"/>
                  </w:tcBorders>
                  <w:shd w:val="clear" w:color="auto" w:fill="auto"/>
                  <w:noWrap/>
                  <w:vAlign w:val="bottom"/>
                </w:tcPr>
                <w:p w14:paraId="1E415DD4" w14:textId="77777777" w:rsidR="00573FD9" w:rsidRPr="00B033E9" w:rsidRDefault="00573FD9" w:rsidP="00573FD9">
                  <w:pPr>
                    <w:spacing w:after="0" w:line="240" w:lineRule="auto"/>
                    <w:rPr>
                      <w:rFonts w:ascii="Times New Roman" w:eastAsia="Times New Roman" w:hAnsi="Times New Roman" w:cs="Times New Roman"/>
                      <w:b/>
                      <w:bCs/>
                      <w:color w:val="000000"/>
                      <w:sz w:val="24"/>
                      <w:szCs w:val="24"/>
                    </w:rPr>
                  </w:pPr>
                </w:p>
              </w:tc>
              <w:tc>
                <w:tcPr>
                  <w:tcW w:w="1296" w:type="dxa"/>
                  <w:tcBorders>
                    <w:left w:val="nil"/>
                    <w:right w:val="nil"/>
                  </w:tcBorders>
                  <w:shd w:val="clear" w:color="auto" w:fill="auto"/>
                  <w:noWrap/>
                  <w:vAlign w:val="bottom"/>
                </w:tcPr>
                <w:p w14:paraId="4CB94F6D" w14:textId="77777777" w:rsidR="00573FD9" w:rsidRPr="00B033E9" w:rsidRDefault="00573FD9" w:rsidP="00573FD9">
                  <w:pPr>
                    <w:spacing w:after="0" w:line="240" w:lineRule="auto"/>
                    <w:jc w:val="right"/>
                    <w:rPr>
                      <w:rFonts w:ascii="Times New Roman" w:eastAsia="Times New Roman" w:hAnsi="Times New Roman" w:cs="Times New Roman"/>
                      <w:sz w:val="24"/>
                      <w:szCs w:val="24"/>
                    </w:rPr>
                  </w:pPr>
                </w:p>
              </w:tc>
              <w:tc>
                <w:tcPr>
                  <w:tcW w:w="1296" w:type="dxa"/>
                  <w:tcBorders>
                    <w:left w:val="nil"/>
                    <w:right w:val="nil"/>
                  </w:tcBorders>
                  <w:shd w:val="clear" w:color="auto" w:fill="auto"/>
                  <w:noWrap/>
                  <w:vAlign w:val="bottom"/>
                </w:tcPr>
                <w:p w14:paraId="7C28F863" w14:textId="77777777" w:rsidR="00573FD9" w:rsidRPr="00B033E9" w:rsidRDefault="00573FD9" w:rsidP="00573FD9">
                  <w:pPr>
                    <w:spacing w:after="0" w:line="240" w:lineRule="auto"/>
                    <w:jc w:val="right"/>
                    <w:rPr>
                      <w:rFonts w:ascii="Times New Roman" w:eastAsia="Times New Roman" w:hAnsi="Times New Roman" w:cs="Times New Roman"/>
                      <w:b/>
                      <w:bCs/>
                      <w:color w:val="000000"/>
                      <w:sz w:val="24"/>
                      <w:szCs w:val="24"/>
                    </w:rPr>
                  </w:pPr>
                </w:p>
              </w:tc>
            </w:tr>
          </w:tbl>
          <w:p w14:paraId="594238D9" w14:textId="77777777" w:rsidR="00223061" w:rsidRPr="00B033E9" w:rsidRDefault="00223061" w:rsidP="00223061">
            <w:pPr>
              <w:spacing w:after="0" w:line="240" w:lineRule="auto"/>
              <w:jc w:val="center"/>
              <w:rPr>
                <w:rFonts w:ascii="Times New Roman" w:eastAsia="Times New Roman" w:hAnsi="Times New Roman" w:cs="Times New Roman"/>
                <w:b/>
                <w:bCs/>
                <w:color w:val="000000"/>
                <w:sz w:val="24"/>
                <w:szCs w:val="24"/>
              </w:rPr>
            </w:pPr>
          </w:p>
        </w:tc>
      </w:tr>
      <w:tr w:rsidR="005A14BD" w:rsidRPr="00186ACF" w14:paraId="29276FC8" w14:textId="77777777" w:rsidTr="009C70F5">
        <w:trPr>
          <w:trHeight w:val="300"/>
        </w:trPr>
        <w:tc>
          <w:tcPr>
            <w:tcW w:w="3786" w:type="dxa"/>
            <w:tcBorders>
              <w:top w:val="nil"/>
              <w:left w:val="nil"/>
              <w:bottom w:val="nil"/>
              <w:right w:val="nil"/>
            </w:tcBorders>
            <w:shd w:val="clear" w:color="auto" w:fill="auto"/>
            <w:noWrap/>
            <w:vAlign w:val="bottom"/>
          </w:tcPr>
          <w:p w14:paraId="7B2D2523" w14:textId="77777777" w:rsidR="006F24AF" w:rsidRPr="00186ACF" w:rsidRDefault="006F24AF" w:rsidP="00223061">
            <w:pPr>
              <w:spacing w:after="0" w:line="240" w:lineRule="auto"/>
              <w:rPr>
                <w:rFonts w:ascii="Times New Roman" w:eastAsia="Times New Roman" w:hAnsi="Times New Roman" w:cs="Times New Roman"/>
                <w:sz w:val="24"/>
                <w:szCs w:val="24"/>
                <w:highlight w:val="yellow"/>
              </w:rPr>
            </w:pPr>
          </w:p>
        </w:tc>
        <w:tc>
          <w:tcPr>
            <w:tcW w:w="1480" w:type="dxa"/>
            <w:tcBorders>
              <w:top w:val="nil"/>
              <w:left w:val="nil"/>
              <w:bottom w:val="nil"/>
              <w:right w:val="nil"/>
            </w:tcBorders>
            <w:shd w:val="clear" w:color="auto" w:fill="auto"/>
            <w:noWrap/>
            <w:vAlign w:val="bottom"/>
          </w:tcPr>
          <w:p w14:paraId="0DF6BA7C" w14:textId="77777777" w:rsidR="006F24AF" w:rsidRPr="00186ACF" w:rsidRDefault="006F24AF" w:rsidP="00223061">
            <w:pPr>
              <w:spacing w:after="0" w:line="240" w:lineRule="auto"/>
              <w:jc w:val="center"/>
              <w:rPr>
                <w:rFonts w:ascii="Times New Roman" w:eastAsia="Times New Roman" w:hAnsi="Times New Roman" w:cs="Times New Roman"/>
                <w:b/>
                <w:bCs/>
                <w:color w:val="000000"/>
                <w:sz w:val="24"/>
                <w:szCs w:val="24"/>
                <w:highlight w:val="yellow"/>
              </w:rPr>
            </w:pPr>
          </w:p>
        </w:tc>
        <w:tc>
          <w:tcPr>
            <w:tcW w:w="1345" w:type="dxa"/>
            <w:tcBorders>
              <w:top w:val="nil"/>
              <w:left w:val="nil"/>
              <w:bottom w:val="nil"/>
              <w:right w:val="nil"/>
            </w:tcBorders>
            <w:shd w:val="clear" w:color="auto" w:fill="auto"/>
            <w:noWrap/>
            <w:vAlign w:val="bottom"/>
          </w:tcPr>
          <w:p w14:paraId="4D5CE9CF" w14:textId="77777777" w:rsidR="006F24AF" w:rsidRPr="00186ACF" w:rsidRDefault="006F24AF" w:rsidP="00223061">
            <w:pPr>
              <w:spacing w:after="0" w:line="240" w:lineRule="auto"/>
              <w:jc w:val="center"/>
              <w:rPr>
                <w:rFonts w:ascii="Times New Roman" w:eastAsia="Times New Roman" w:hAnsi="Times New Roman" w:cs="Times New Roman"/>
                <w:b/>
                <w:bCs/>
                <w:color w:val="000000"/>
                <w:sz w:val="24"/>
                <w:szCs w:val="24"/>
                <w:highlight w:val="yellow"/>
              </w:rPr>
            </w:pPr>
          </w:p>
        </w:tc>
        <w:tc>
          <w:tcPr>
            <w:tcW w:w="1345" w:type="dxa"/>
            <w:tcBorders>
              <w:top w:val="nil"/>
              <w:left w:val="nil"/>
              <w:bottom w:val="nil"/>
              <w:right w:val="nil"/>
            </w:tcBorders>
            <w:shd w:val="clear" w:color="auto" w:fill="auto"/>
            <w:noWrap/>
            <w:vAlign w:val="bottom"/>
          </w:tcPr>
          <w:p w14:paraId="00827DF9" w14:textId="77777777" w:rsidR="006F24AF" w:rsidRPr="00186ACF" w:rsidRDefault="006F24AF" w:rsidP="00223061">
            <w:pPr>
              <w:spacing w:after="0" w:line="240" w:lineRule="auto"/>
              <w:jc w:val="center"/>
              <w:rPr>
                <w:rFonts w:ascii="Times New Roman" w:eastAsia="Times New Roman" w:hAnsi="Times New Roman" w:cs="Times New Roman"/>
                <w:b/>
                <w:bCs/>
                <w:color w:val="000000"/>
                <w:sz w:val="24"/>
                <w:szCs w:val="24"/>
                <w:highlight w:val="yellow"/>
              </w:rPr>
            </w:pPr>
          </w:p>
        </w:tc>
      </w:tr>
    </w:tbl>
    <w:p w14:paraId="68F81995" w14:textId="5F463DD4" w:rsidR="00573FD9" w:rsidRDefault="00573FD9" w:rsidP="00FB34C6">
      <w:pPr>
        <w:rPr>
          <w:rFonts w:ascii="Times New Roman" w:eastAsia="Times New Roman" w:hAnsi="Times New Roman" w:cs="Times New Roman"/>
          <w:color w:val="000000"/>
          <w:sz w:val="24"/>
          <w:szCs w:val="24"/>
          <w:highlight w:val="yellow"/>
        </w:rPr>
      </w:pPr>
    </w:p>
    <w:p w14:paraId="24BEDAAA" w14:textId="48D76DC5" w:rsidR="002440A1" w:rsidRDefault="002440A1" w:rsidP="00FB34C6">
      <w:pPr>
        <w:rPr>
          <w:rFonts w:ascii="Times New Roman" w:eastAsia="Times New Roman" w:hAnsi="Times New Roman" w:cs="Times New Roman"/>
          <w:color w:val="000000"/>
          <w:sz w:val="24"/>
          <w:szCs w:val="24"/>
          <w:highlight w:val="yellow"/>
        </w:rPr>
      </w:pPr>
    </w:p>
    <w:p w14:paraId="0B9AF962" w14:textId="77777777" w:rsidR="002440A1" w:rsidRPr="00186ACF" w:rsidRDefault="002440A1" w:rsidP="00FB34C6">
      <w:pPr>
        <w:rPr>
          <w:rFonts w:ascii="Times New Roman" w:eastAsia="Times New Roman" w:hAnsi="Times New Roman" w:cs="Times New Roman"/>
          <w:color w:val="000000"/>
          <w:sz w:val="24"/>
          <w:szCs w:val="24"/>
          <w:highlight w:val="yellow"/>
        </w:rPr>
      </w:pPr>
    </w:p>
    <w:p w14:paraId="54E08CDB" w14:textId="2C8DF56A" w:rsidR="0054445F" w:rsidRPr="00970B9A" w:rsidRDefault="002446C3" w:rsidP="00FB34C6">
      <w:pPr>
        <w:rPr>
          <w:rFonts w:ascii="Times New Roman" w:eastAsia="Times New Roman" w:hAnsi="Times New Roman" w:cs="Times New Roman"/>
          <w:color w:val="000000"/>
          <w:sz w:val="24"/>
          <w:szCs w:val="24"/>
        </w:rPr>
      </w:pPr>
      <w:r w:rsidRPr="00970B9A">
        <w:rPr>
          <w:rFonts w:ascii="Times New Roman" w:eastAsia="Times New Roman" w:hAnsi="Times New Roman" w:cs="Times New Roman"/>
          <w:color w:val="000000"/>
          <w:sz w:val="24"/>
          <w:szCs w:val="24"/>
        </w:rPr>
        <w:t>T</w:t>
      </w:r>
      <w:r w:rsidR="00FB34C6" w:rsidRPr="00970B9A">
        <w:rPr>
          <w:rFonts w:ascii="Times New Roman" w:eastAsia="Times New Roman" w:hAnsi="Times New Roman" w:cs="Times New Roman"/>
          <w:color w:val="000000"/>
          <w:sz w:val="24"/>
          <w:szCs w:val="24"/>
        </w:rPr>
        <w:t xml:space="preserve">he following pro-forma </w:t>
      </w:r>
      <w:r w:rsidR="00223061" w:rsidRPr="00970B9A">
        <w:rPr>
          <w:rFonts w:ascii="Times New Roman" w:eastAsia="Times New Roman" w:hAnsi="Times New Roman" w:cs="Times New Roman"/>
          <w:color w:val="000000"/>
          <w:sz w:val="24"/>
          <w:szCs w:val="24"/>
        </w:rPr>
        <w:t xml:space="preserve">Cash Flow </w:t>
      </w:r>
      <w:r w:rsidR="00FB34C6" w:rsidRPr="00970B9A">
        <w:rPr>
          <w:rFonts w:ascii="Times New Roman" w:eastAsia="Times New Roman" w:hAnsi="Times New Roman" w:cs="Times New Roman"/>
          <w:color w:val="000000"/>
          <w:sz w:val="24"/>
          <w:szCs w:val="24"/>
        </w:rPr>
        <w:t xml:space="preserve">Sheet represents </w:t>
      </w:r>
      <w:r w:rsidR="00ED0029" w:rsidRPr="00970B9A">
        <w:rPr>
          <w:rFonts w:ascii="Times New Roman" w:eastAsia="Times New Roman" w:hAnsi="Times New Roman" w:cs="Times New Roman"/>
          <w:color w:val="000000"/>
          <w:sz w:val="24"/>
          <w:szCs w:val="24"/>
        </w:rPr>
        <w:t xml:space="preserve">Warm Springs </w:t>
      </w:r>
      <w:r w:rsidR="00E63F5D">
        <w:rPr>
          <w:rFonts w:ascii="Times New Roman" w:eastAsia="Times New Roman" w:hAnsi="Times New Roman" w:cs="Times New Roman"/>
          <w:color w:val="000000"/>
          <w:sz w:val="24"/>
          <w:szCs w:val="24"/>
        </w:rPr>
        <w:t>Casino</w:t>
      </w:r>
      <w:r w:rsidR="00ED0029" w:rsidRPr="00970B9A">
        <w:rPr>
          <w:rFonts w:ascii="Times New Roman" w:eastAsia="Times New Roman" w:hAnsi="Times New Roman" w:cs="Times New Roman"/>
          <w:color w:val="000000"/>
          <w:sz w:val="24"/>
          <w:szCs w:val="24"/>
        </w:rPr>
        <w:t xml:space="preserve"> </w:t>
      </w:r>
      <w:r w:rsidR="009523CC" w:rsidRPr="00970B9A">
        <w:rPr>
          <w:rFonts w:ascii="Times New Roman" w:eastAsia="Times New Roman" w:hAnsi="Times New Roman" w:cs="Times New Roman"/>
          <w:color w:val="000000"/>
          <w:sz w:val="24"/>
          <w:szCs w:val="24"/>
        </w:rPr>
        <w:t>Enterprises Management</w:t>
      </w:r>
      <w:r w:rsidR="00FB34C6" w:rsidRPr="00970B9A">
        <w:rPr>
          <w:rFonts w:ascii="Times New Roman" w:eastAsia="Times New Roman" w:hAnsi="Times New Roman" w:cs="Times New Roman"/>
          <w:color w:val="000000"/>
          <w:sz w:val="24"/>
          <w:szCs w:val="24"/>
        </w:rPr>
        <w:t xml:space="preserve"> plan analysis and projections for the years ended December 31, 20</w:t>
      </w:r>
      <w:r w:rsidR="00A6318B" w:rsidRPr="00970B9A">
        <w:rPr>
          <w:rFonts w:ascii="Times New Roman" w:eastAsia="Times New Roman" w:hAnsi="Times New Roman" w:cs="Times New Roman"/>
          <w:color w:val="000000"/>
          <w:sz w:val="24"/>
          <w:szCs w:val="24"/>
        </w:rPr>
        <w:t>2</w:t>
      </w:r>
      <w:r w:rsidR="00B033E9">
        <w:rPr>
          <w:rFonts w:ascii="Times New Roman" w:eastAsia="Times New Roman" w:hAnsi="Times New Roman" w:cs="Times New Roman"/>
          <w:color w:val="000000"/>
          <w:sz w:val="24"/>
          <w:szCs w:val="24"/>
        </w:rPr>
        <w:t>1</w:t>
      </w:r>
      <w:r w:rsidR="00FB34C6" w:rsidRPr="00970B9A">
        <w:rPr>
          <w:rFonts w:ascii="Times New Roman" w:eastAsia="Times New Roman" w:hAnsi="Times New Roman" w:cs="Times New Roman"/>
          <w:color w:val="000000"/>
          <w:sz w:val="24"/>
          <w:szCs w:val="24"/>
        </w:rPr>
        <w:t xml:space="preserve"> to 20</w:t>
      </w:r>
      <w:r w:rsidR="00A6318B" w:rsidRPr="00970B9A">
        <w:rPr>
          <w:rFonts w:ascii="Times New Roman" w:eastAsia="Times New Roman" w:hAnsi="Times New Roman" w:cs="Times New Roman"/>
          <w:color w:val="000000"/>
          <w:sz w:val="24"/>
          <w:szCs w:val="24"/>
        </w:rPr>
        <w:t>2</w:t>
      </w:r>
      <w:r w:rsidR="00B033E9">
        <w:rPr>
          <w:rFonts w:ascii="Times New Roman" w:eastAsia="Times New Roman" w:hAnsi="Times New Roman" w:cs="Times New Roman"/>
          <w:color w:val="000000"/>
          <w:sz w:val="24"/>
          <w:szCs w:val="24"/>
        </w:rPr>
        <w:t>3</w:t>
      </w:r>
      <w:r w:rsidR="00FB34C6" w:rsidRPr="00970B9A">
        <w:rPr>
          <w:rFonts w:ascii="Times New Roman" w:eastAsia="Times New Roman" w:hAnsi="Times New Roman" w:cs="Times New Roman"/>
          <w:color w:val="000000"/>
          <w:sz w:val="24"/>
          <w:szCs w:val="24"/>
        </w:rPr>
        <w:t>:</w:t>
      </w:r>
    </w:p>
    <w:tbl>
      <w:tblPr>
        <w:tblW w:w="7518" w:type="dxa"/>
        <w:tblLook w:val="04A0" w:firstRow="1" w:lastRow="0" w:firstColumn="1" w:lastColumn="0" w:noHBand="0" w:noVBand="1"/>
      </w:tblPr>
      <w:tblGrid>
        <w:gridCol w:w="3510"/>
        <w:gridCol w:w="1336"/>
        <w:gridCol w:w="1336"/>
        <w:gridCol w:w="1336"/>
      </w:tblGrid>
      <w:tr w:rsidR="0072266A" w:rsidRPr="00970B9A" w14:paraId="22857CCE" w14:textId="77777777" w:rsidTr="009C70F5">
        <w:trPr>
          <w:trHeight w:val="300"/>
        </w:trPr>
        <w:tc>
          <w:tcPr>
            <w:tcW w:w="7518" w:type="dxa"/>
            <w:gridSpan w:val="4"/>
            <w:tcBorders>
              <w:top w:val="nil"/>
              <w:left w:val="nil"/>
              <w:bottom w:val="nil"/>
              <w:right w:val="nil"/>
            </w:tcBorders>
            <w:shd w:val="clear" w:color="auto" w:fill="auto"/>
            <w:noWrap/>
            <w:vAlign w:val="bottom"/>
            <w:hideMark/>
          </w:tcPr>
          <w:p w14:paraId="45888C91" w14:textId="77777777" w:rsidR="0072266A" w:rsidRPr="00970B9A" w:rsidRDefault="008E0008" w:rsidP="0072266A">
            <w:pPr>
              <w:spacing w:after="0" w:line="240" w:lineRule="auto"/>
              <w:jc w:val="center"/>
              <w:rPr>
                <w:rFonts w:ascii="Times New Roman" w:eastAsia="Times New Roman" w:hAnsi="Times New Roman" w:cs="Times New Roman"/>
                <w:b/>
                <w:bCs/>
                <w:color w:val="000000"/>
                <w:sz w:val="24"/>
                <w:szCs w:val="24"/>
              </w:rPr>
            </w:pPr>
            <w:r w:rsidRPr="00970B9A">
              <w:rPr>
                <w:rFonts w:ascii="Times New Roman" w:eastAsia="Times New Roman" w:hAnsi="Times New Roman" w:cs="Times New Roman"/>
                <w:b/>
                <w:bCs/>
                <w:color w:val="000000"/>
                <w:sz w:val="24"/>
                <w:szCs w:val="24"/>
              </w:rPr>
              <w:t>Indian Head Casino &amp; Plateau Travel Plaza</w:t>
            </w:r>
          </w:p>
        </w:tc>
      </w:tr>
      <w:tr w:rsidR="0072266A" w:rsidRPr="00970B9A" w14:paraId="20432E96" w14:textId="77777777" w:rsidTr="009C70F5">
        <w:trPr>
          <w:trHeight w:val="300"/>
        </w:trPr>
        <w:tc>
          <w:tcPr>
            <w:tcW w:w="7518" w:type="dxa"/>
            <w:gridSpan w:val="4"/>
            <w:tcBorders>
              <w:top w:val="nil"/>
              <w:left w:val="nil"/>
              <w:bottom w:val="nil"/>
              <w:right w:val="nil"/>
            </w:tcBorders>
            <w:shd w:val="clear" w:color="auto" w:fill="auto"/>
            <w:noWrap/>
            <w:vAlign w:val="bottom"/>
            <w:hideMark/>
          </w:tcPr>
          <w:p w14:paraId="7611B46A" w14:textId="0CA47594" w:rsidR="0072266A" w:rsidRPr="00970B9A" w:rsidRDefault="0072266A" w:rsidP="0072266A">
            <w:pPr>
              <w:spacing w:after="0" w:line="240" w:lineRule="auto"/>
              <w:jc w:val="center"/>
              <w:rPr>
                <w:rFonts w:ascii="Times New Roman" w:eastAsia="Times New Roman" w:hAnsi="Times New Roman" w:cs="Times New Roman"/>
                <w:b/>
                <w:bCs/>
                <w:color w:val="000000"/>
                <w:sz w:val="24"/>
                <w:szCs w:val="24"/>
              </w:rPr>
            </w:pPr>
            <w:r w:rsidRPr="00970B9A">
              <w:rPr>
                <w:rFonts w:ascii="Times New Roman" w:eastAsia="Times New Roman" w:hAnsi="Times New Roman" w:cs="Times New Roman"/>
                <w:b/>
                <w:bCs/>
                <w:color w:val="000000"/>
                <w:sz w:val="24"/>
                <w:szCs w:val="24"/>
              </w:rPr>
              <w:t>Three Year Pro-</w:t>
            </w:r>
            <w:r w:rsidR="00E63F5D" w:rsidRPr="00970B9A">
              <w:rPr>
                <w:rFonts w:ascii="Times New Roman" w:eastAsia="Times New Roman" w:hAnsi="Times New Roman" w:cs="Times New Roman"/>
                <w:b/>
                <w:bCs/>
                <w:color w:val="000000"/>
                <w:sz w:val="24"/>
                <w:szCs w:val="24"/>
              </w:rPr>
              <w:t>Forma</w:t>
            </w:r>
            <w:r w:rsidRPr="00970B9A">
              <w:rPr>
                <w:rFonts w:ascii="Times New Roman" w:eastAsia="Times New Roman" w:hAnsi="Times New Roman" w:cs="Times New Roman"/>
                <w:b/>
                <w:bCs/>
                <w:color w:val="000000"/>
                <w:sz w:val="24"/>
                <w:szCs w:val="24"/>
              </w:rPr>
              <w:t xml:space="preserve"> Cash Flow Statement</w:t>
            </w:r>
          </w:p>
        </w:tc>
      </w:tr>
      <w:tr w:rsidR="0072266A" w:rsidRPr="00970B9A" w14:paraId="5F49A2DC" w14:textId="77777777" w:rsidTr="009C70F5">
        <w:trPr>
          <w:trHeight w:val="180"/>
        </w:trPr>
        <w:tc>
          <w:tcPr>
            <w:tcW w:w="3510" w:type="dxa"/>
            <w:tcBorders>
              <w:top w:val="nil"/>
              <w:left w:val="nil"/>
              <w:bottom w:val="nil"/>
              <w:right w:val="nil"/>
            </w:tcBorders>
            <w:shd w:val="clear" w:color="auto" w:fill="auto"/>
            <w:noWrap/>
            <w:vAlign w:val="bottom"/>
            <w:hideMark/>
          </w:tcPr>
          <w:p w14:paraId="4C5EEF82" w14:textId="77777777" w:rsidR="0072266A" w:rsidRPr="00970B9A" w:rsidRDefault="0072266A" w:rsidP="0072266A">
            <w:pPr>
              <w:spacing w:after="0" w:line="240" w:lineRule="auto"/>
              <w:jc w:val="center"/>
              <w:rPr>
                <w:rFonts w:ascii="Times New Roman" w:eastAsia="Times New Roman" w:hAnsi="Times New Roman" w:cs="Times New Roman"/>
                <w:b/>
                <w:bCs/>
                <w:color w:val="000000"/>
                <w:sz w:val="24"/>
                <w:szCs w:val="24"/>
              </w:rPr>
            </w:pPr>
          </w:p>
        </w:tc>
        <w:tc>
          <w:tcPr>
            <w:tcW w:w="1336" w:type="dxa"/>
            <w:tcBorders>
              <w:top w:val="nil"/>
              <w:left w:val="nil"/>
              <w:bottom w:val="nil"/>
              <w:right w:val="nil"/>
            </w:tcBorders>
            <w:shd w:val="clear" w:color="auto" w:fill="auto"/>
            <w:noWrap/>
            <w:vAlign w:val="bottom"/>
            <w:hideMark/>
          </w:tcPr>
          <w:p w14:paraId="71171ED9" w14:textId="77777777" w:rsidR="0072266A" w:rsidRPr="00970B9A" w:rsidRDefault="0072266A" w:rsidP="0072266A">
            <w:pPr>
              <w:spacing w:after="0" w:line="240" w:lineRule="auto"/>
              <w:rPr>
                <w:rFonts w:ascii="Times New Roman" w:eastAsia="Times New Roman" w:hAnsi="Times New Roman" w:cs="Times New Roman"/>
                <w:sz w:val="24"/>
                <w:szCs w:val="24"/>
              </w:rPr>
            </w:pPr>
          </w:p>
        </w:tc>
        <w:tc>
          <w:tcPr>
            <w:tcW w:w="1336" w:type="dxa"/>
            <w:tcBorders>
              <w:top w:val="nil"/>
              <w:left w:val="nil"/>
              <w:bottom w:val="nil"/>
              <w:right w:val="nil"/>
            </w:tcBorders>
            <w:shd w:val="clear" w:color="auto" w:fill="auto"/>
            <w:noWrap/>
            <w:vAlign w:val="bottom"/>
            <w:hideMark/>
          </w:tcPr>
          <w:p w14:paraId="1F0755C2" w14:textId="77777777" w:rsidR="0072266A" w:rsidRPr="00970B9A" w:rsidRDefault="0072266A" w:rsidP="0072266A">
            <w:pPr>
              <w:spacing w:after="0" w:line="240" w:lineRule="auto"/>
              <w:rPr>
                <w:rFonts w:ascii="Times New Roman" w:eastAsia="Times New Roman" w:hAnsi="Times New Roman" w:cs="Times New Roman"/>
                <w:sz w:val="24"/>
                <w:szCs w:val="24"/>
              </w:rPr>
            </w:pPr>
          </w:p>
        </w:tc>
        <w:tc>
          <w:tcPr>
            <w:tcW w:w="1336" w:type="dxa"/>
            <w:tcBorders>
              <w:top w:val="nil"/>
              <w:left w:val="nil"/>
              <w:bottom w:val="nil"/>
              <w:right w:val="nil"/>
            </w:tcBorders>
            <w:shd w:val="clear" w:color="auto" w:fill="auto"/>
            <w:noWrap/>
            <w:vAlign w:val="bottom"/>
            <w:hideMark/>
          </w:tcPr>
          <w:p w14:paraId="7771AEBE" w14:textId="77777777" w:rsidR="0072266A" w:rsidRPr="00970B9A" w:rsidRDefault="0072266A" w:rsidP="0072266A">
            <w:pPr>
              <w:spacing w:after="0" w:line="240" w:lineRule="auto"/>
              <w:rPr>
                <w:rFonts w:ascii="Times New Roman" w:eastAsia="Times New Roman" w:hAnsi="Times New Roman" w:cs="Times New Roman"/>
                <w:sz w:val="24"/>
                <w:szCs w:val="24"/>
              </w:rPr>
            </w:pPr>
          </w:p>
        </w:tc>
      </w:tr>
      <w:tr w:rsidR="0072266A" w:rsidRPr="00970B9A" w14:paraId="680654E0" w14:textId="77777777" w:rsidTr="009C70F5">
        <w:trPr>
          <w:trHeight w:val="300"/>
        </w:trPr>
        <w:tc>
          <w:tcPr>
            <w:tcW w:w="3510" w:type="dxa"/>
            <w:tcBorders>
              <w:top w:val="nil"/>
              <w:left w:val="nil"/>
              <w:bottom w:val="nil"/>
              <w:right w:val="nil"/>
            </w:tcBorders>
            <w:shd w:val="clear" w:color="auto" w:fill="auto"/>
            <w:noWrap/>
            <w:vAlign w:val="bottom"/>
            <w:hideMark/>
          </w:tcPr>
          <w:p w14:paraId="26F9CB3C" w14:textId="77777777" w:rsidR="0072266A" w:rsidRPr="00970B9A" w:rsidRDefault="0072266A" w:rsidP="0072266A">
            <w:pPr>
              <w:spacing w:after="0" w:line="240" w:lineRule="auto"/>
              <w:rPr>
                <w:rFonts w:ascii="Times New Roman" w:eastAsia="Times New Roman" w:hAnsi="Times New Roman" w:cs="Times New Roman"/>
                <w:sz w:val="24"/>
                <w:szCs w:val="24"/>
              </w:rPr>
            </w:pPr>
          </w:p>
        </w:tc>
        <w:tc>
          <w:tcPr>
            <w:tcW w:w="1336" w:type="dxa"/>
            <w:tcBorders>
              <w:top w:val="nil"/>
              <w:left w:val="nil"/>
              <w:bottom w:val="nil"/>
              <w:right w:val="nil"/>
            </w:tcBorders>
            <w:shd w:val="clear" w:color="auto" w:fill="auto"/>
            <w:noWrap/>
            <w:vAlign w:val="bottom"/>
            <w:hideMark/>
          </w:tcPr>
          <w:p w14:paraId="57F67332" w14:textId="7319522D" w:rsidR="0072266A" w:rsidRPr="00970B9A" w:rsidRDefault="0072266A" w:rsidP="00706BB5">
            <w:pPr>
              <w:spacing w:after="0" w:line="240" w:lineRule="auto"/>
              <w:jc w:val="center"/>
              <w:rPr>
                <w:rFonts w:ascii="Times New Roman" w:eastAsia="Times New Roman" w:hAnsi="Times New Roman" w:cs="Times New Roman"/>
                <w:b/>
                <w:bCs/>
                <w:color w:val="000000"/>
                <w:sz w:val="24"/>
                <w:szCs w:val="24"/>
              </w:rPr>
            </w:pPr>
            <w:r w:rsidRPr="00970B9A">
              <w:rPr>
                <w:rFonts w:ascii="Times New Roman" w:eastAsia="Times New Roman" w:hAnsi="Times New Roman" w:cs="Times New Roman"/>
                <w:b/>
                <w:bCs/>
                <w:color w:val="000000"/>
                <w:sz w:val="24"/>
                <w:szCs w:val="24"/>
              </w:rPr>
              <w:t>20</w:t>
            </w:r>
            <w:r w:rsidR="00336F7E" w:rsidRPr="00970B9A">
              <w:rPr>
                <w:rFonts w:ascii="Times New Roman" w:eastAsia="Times New Roman" w:hAnsi="Times New Roman" w:cs="Times New Roman"/>
                <w:b/>
                <w:bCs/>
                <w:color w:val="000000"/>
                <w:sz w:val="24"/>
                <w:szCs w:val="24"/>
              </w:rPr>
              <w:t>2</w:t>
            </w:r>
            <w:r w:rsidR="00293F92">
              <w:rPr>
                <w:rFonts w:ascii="Times New Roman" w:eastAsia="Times New Roman" w:hAnsi="Times New Roman" w:cs="Times New Roman"/>
                <w:b/>
                <w:bCs/>
                <w:color w:val="000000"/>
                <w:sz w:val="24"/>
                <w:szCs w:val="24"/>
              </w:rPr>
              <w:t>1</w:t>
            </w:r>
          </w:p>
        </w:tc>
        <w:tc>
          <w:tcPr>
            <w:tcW w:w="1336" w:type="dxa"/>
            <w:tcBorders>
              <w:top w:val="nil"/>
              <w:left w:val="nil"/>
              <w:bottom w:val="nil"/>
              <w:right w:val="nil"/>
            </w:tcBorders>
            <w:shd w:val="clear" w:color="auto" w:fill="auto"/>
            <w:noWrap/>
            <w:vAlign w:val="bottom"/>
            <w:hideMark/>
          </w:tcPr>
          <w:p w14:paraId="24AE1A0F" w14:textId="1C272F68" w:rsidR="0072266A" w:rsidRPr="00970B9A" w:rsidRDefault="0072266A" w:rsidP="00706BB5">
            <w:pPr>
              <w:spacing w:after="0" w:line="240" w:lineRule="auto"/>
              <w:jc w:val="center"/>
              <w:rPr>
                <w:rFonts w:ascii="Times New Roman" w:eastAsia="Times New Roman" w:hAnsi="Times New Roman" w:cs="Times New Roman"/>
                <w:b/>
                <w:bCs/>
                <w:color w:val="000000"/>
                <w:sz w:val="24"/>
                <w:szCs w:val="24"/>
              </w:rPr>
            </w:pPr>
            <w:r w:rsidRPr="00970B9A">
              <w:rPr>
                <w:rFonts w:ascii="Times New Roman" w:eastAsia="Times New Roman" w:hAnsi="Times New Roman" w:cs="Times New Roman"/>
                <w:b/>
                <w:bCs/>
                <w:color w:val="000000"/>
                <w:sz w:val="24"/>
                <w:szCs w:val="24"/>
              </w:rPr>
              <w:t>20</w:t>
            </w:r>
            <w:r w:rsidR="009052D9" w:rsidRPr="00970B9A">
              <w:rPr>
                <w:rFonts w:ascii="Times New Roman" w:eastAsia="Times New Roman" w:hAnsi="Times New Roman" w:cs="Times New Roman"/>
                <w:b/>
                <w:bCs/>
                <w:color w:val="000000"/>
                <w:sz w:val="24"/>
                <w:szCs w:val="24"/>
              </w:rPr>
              <w:t>2</w:t>
            </w:r>
            <w:r w:rsidR="00293F92">
              <w:rPr>
                <w:rFonts w:ascii="Times New Roman" w:eastAsia="Times New Roman" w:hAnsi="Times New Roman" w:cs="Times New Roman"/>
                <w:b/>
                <w:bCs/>
                <w:color w:val="000000"/>
                <w:sz w:val="24"/>
                <w:szCs w:val="24"/>
              </w:rPr>
              <w:t>2</w:t>
            </w:r>
          </w:p>
        </w:tc>
        <w:tc>
          <w:tcPr>
            <w:tcW w:w="1336" w:type="dxa"/>
            <w:tcBorders>
              <w:top w:val="nil"/>
              <w:left w:val="nil"/>
              <w:bottom w:val="nil"/>
              <w:right w:val="nil"/>
            </w:tcBorders>
            <w:shd w:val="clear" w:color="auto" w:fill="auto"/>
            <w:noWrap/>
            <w:vAlign w:val="bottom"/>
            <w:hideMark/>
          </w:tcPr>
          <w:p w14:paraId="462A8392" w14:textId="417BF835" w:rsidR="0072266A" w:rsidRPr="00970B9A" w:rsidRDefault="0072266A" w:rsidP="00706BB5">
            <w:pPr>
              <w:spacing w:after="0" w:line="240" w:lineRule="auto"/>
              <w:jc w:val="center"/>
              <w:rPr>
                <w:rFonts w:ascii="Times New Roman" w:eastAsia="Times New Roman" w:hAnsi="Times New Roman" w:cs="Times New Roman"/>
                <w:b/>
                <w:bCs/>
                <w:color w:val="000000"/>
                <w:sz w:val="24"/>
                <w:szCs w:val="24"/>
              </w:rPr>
            </w:pPr>
            <w:r w:rsidRPr="00970B9A">
              <w:rPr>
                <w:rFonts w:ascii="Times New Roman" w:eastAsia="Times New Roman" w:hAnsi="Times New Roman" w:cs="Times New Roman"/>
                <w:b/>
                <w:bCs/>
                <w:color w:val="000000"/>
                <w:sz w:val="24"/>
                <w:szCs w:val="24"/>
              </w:rPr>
              <w:t>20</w:t>
            </w:r>
            <w:r w:rsidR="00061E5B" w:rsidRPr="00970B9A">
              <w:rPr>
                <w:rFonts w:ascii="Times New Roman" w:eastAsia="Times New Roman" w:hAnsi="Times New Roman" w:cs="Times New Roman"/>
                <w:b/>
                <w:bCs/>
                <w:color w:val="000000"/>
                <w:sz w:val="24"/>
                <w:szCs w:val="24"/>
              </w:rPr>
              <w:t>2</w:t>
            </w:r>
            <w:r w:rsidR="00293F92">
              <w:rPr>
                <w:rFonts w:ascii="Times New Roman" w:eastAsia="Times New Roman" w:hAnsi="Times New Roman" w:cs="Times New Roman"/>
                <w:b/>
                <w:bCs/>
                <w:color w:val="000000"/>
                <w:sz w:val="24"/>
                <w:szCs w:val="24"/>
              </w:rPr>
              <w:t>3</w:t>
            </w:r>
          </w:p>
        </w:tc>
      </w:tr>
      <w:tr w:rsidR="0072266A" w:rsidRPr="00970B9A" w14:paraId="673F7290" w14:textId="77777777" w:rsidTr="009C70F5">
        <w:trPr>
          <w:trHeight w:val="300"/>
        </w:trPr>
        <w:tc>
          <w:tcPr>
            <w:tcW w:w="3510" w:type="dxa"/>
            <w:tcBorders>
              <w:top w:val="nil"/>
              <w:left w:val="nil"/>
              <w:bottom w:val="nil"/>
              <w:right w:val="nil"/>
            </w:tcBorders>
            <w:shd w:val="clear" w:color="auto" w:fill="auto"/>
            <w:noWrap/>
            <w:vAlign w:val="bottom"/>
            <w:hideMark/>
          </w:tcPr>
          <w:p w14:paraId="55F2F13C" w14:textId="77777777" w:rsidR="0072266A" w:rsidRPr="00970B9A" w:rsidRDefault="0072266A" w:rsidP="0072266A">
            <w:pPr>
              <w:spacing w:after="0" w:line="240" w:lineRule="auto"/>
              <w:rPr>
                <w:rFonts w:ascii="Times New Roman" w:eastAsia="Times New Roman" w:hAnsi="Times New Roman" w:cs="Times New Roman"/>
                <w:color w:val="000000"/>
                <w:sz w:val="24"/>
                <w:szCs w:val="24"/>
              </w:rPr>
            </w:pPr>
            <w:r w:rsidRPr="00970B9A">
              <w:rPr>
                <w:rFonts w:ascii="Times New Roman" w:eastAsia="Times New Roman" w:hAnsi="Times New Roman" w:cs="Times New Roman"/>
                <w:color w:val="000000"/>
                <w:sz w:val="24"/>
                <w:szCs w:val="24"/>
              </w:rPr>
              <w:t>Beginning Cash</w:t>
            </w:r>
          </w:p>
        </w:tc>
        <w:tc>
          <w:tcPr>
            <w:tcW w:w="1336" w:type="dxa"/>
            <w:tcBorders>
              <w:top w:val="nil"/>
              <w:left w:val="nil"/>
              <w:bottom w:val="nil"/>
              <w:right w:val="nil"/>
            </w:tcBorders>
            <w:shd w:val="clear" w:color="auto" w:fill="auto"/>
            <w:noWrap/>
            <w:vAlign w:val="bottom"/>
            <w:hideMark/>
          </w:tcPr>
          <w:p w14:paraId="641D7F29" w14:textId="74965940" w:rsidR="0072266A" w:rsidRPr="00737DBE" w:rsidRDefault="0072266A" w:rsidP="008B7144">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7E6F23" w:rsidRPr="00737DBE">
              <w:rPr>
                <w:rFonts w:ascii="Times New Roman" w:eastAsia="Times New Roman" w:hAnsi="Times New Roman" w:cs="Times New Roman"/>
                <w:color w:val="000000"/>
                <w:sz w:val="24"/>
                <w:szCs w:val="24"/>
              </w:rPr>
              <w:t>1</w:t>
            </w:r>
            <w:r w:rsidRPr="00737DBE">
              <w:rPr>
                <w:rFonts w:ascii="Times New Roman" w:eastAsia="Times New Roman" w:hAnsi="Times New Roman" w:cs="Times New Roman"/>
                <w:color w:val="000000"/>
                <w:sz w:val="24"/>
                <w:szCs w:val="24"/>
              </w:rPr>
              <w:t>,</w:t>
            </w:r>
            <w:r w:rsidR="00B033E9" w:rsidRPr="00737DBE">
              <w:rPr>
                <w:rFonts w:ascii="Times New Roman" w:eastAsia="Times New Roman" w:hAnsi="Times New Roman" w:cs="Times New Roman"/>
                <w:color w:val="000000"/>
                <w:sz w:val="24"/>
                <w:szCs w:val="24"/>
              </w:rPr>
              <w:t>75</w:t>
            </w:r>
            <w:r w:rsidR="00336F7E" w:rsidRPr="00737DBE">
              <w:rPr>
                <w:rFonts w:ascii="Times New Roman" w:eastAsia="Times New Roman" w:hAnsi="Times New Roman" w:cs="Times New Roman"/>
                <w:color w:val="000000"/>
                <w:sz w:val="24"/>
                <w:szCs w:val="24"/>
              </w:rPr>
              <w:t>0</w:t>
            </w:r>
            <w:r w:rsidRPr="00737DBE">
              <w:rPr>
                <w:rFonts w:ascii="Times New Roman" w:eastAsia="Times New Roman" w:hAnsi="Times New Roman" w:cs="Times New Roman"/>
                <w:color w:val="000000"/>
                <w:sz w:val="24"/>
                <w:szCs w:val="24"/>
              </w:rPr>
              <w:t>,</w:t>
            </w:r>
            <w:r w:rsidR="008B7144" w:rsidRPr="00737DBE">
              <w:rPr>
                <w:rFonts w:ascii="Times New Roman" w:eastAsia="Times New Roman" w:hAnsi="Times New Roman" w:cs="Times New Roman"/>
                <w:color w:val="000000"/>
                <w:sz w:val="24"/>
                <w:szCs w:val="24"/>
              </w:rPr>
              <w:t>000</w:t>
            </w:r>
            <w:r w:rsidRPr="00737DBE">
              <w:rPr>
                <w:rFonts w:ascii="Times New Roman" w:eastAsia="Times New Roman" w:hAnsi="Times New Roman" w:cs="Times New Roman"/>
                <w:color w:val="000000"/>
                <w:sz w:val="24"/>
                <w:szCs w:val="24"/>
              </w:rPr>
              <w:t xml:space="preserve"> </w:t>
            </w:r>
          </w:p>
        </w:tc>
        <w:tc>
          <w:tcPr>
            <w:tcW w:w="1336" w:type="dxa"/>
            <w:tcBorders>
              <w:top w:val="nil"/>
              <w:left w:val="nil"/>
              <w:bottom w:val="nil"/>
              <w:right w:val="nil"/>
            </w:tcBorders>
            <w:shd w:val="clear" w:color="auto" w:fill="auto"/>
            <w:noWrap/>
            <w:vAlign w:val="bottom"/>
            <w:hideMark/>
          </w:tcPr>
          <w:p w14:paraId="5AA4251B" w14:textId="7C76B7E7" w:rsidR="0072266A" w:rsidRPr="00737DBE" w:rsidRDefault="0072266A" w:rsidP="008B7144">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D724E7" w:rsidRPr="00737DBE">
              <w:rPr>
                <w:rFonts w:ascii="Times New Roman" w:eastAsia="Times New Roman" w:hAnsi="Times New Roman" w:cs="Times New Roman"/>
                <w:color w:val="000000"/>
                <w:sz w:val="24"/>
                <w:szCs w:val="24"/>
              </w:rPr>
              <w:t>1</w:t>
            </w:r>
            <w:r w:rsidR="007E6F23" w:rsidRPr="00737DBE">
              <w:rPr>
                <w:rFonts w:ascii="Times New Roman" w:eastAsia="Times New Roman" w:hAnsi="Times New Roman" w:cs="Times New Roman"/>
                <w:color w:val="000000"/>
                <w:sz w:val="24"/>
                <w:szCs w:val="24"/>
              </w:rPr>
              <w:t>,</w:t>
            </w:r>
            <w:r w:rsidR="004928DA">
              <w:rPr>
                <w:rFonts w:ascii="Times New Roman" w:eastAsia="Times New Roman" w:hAnsi="Times New Roman" w:cs="Times New Roman"/>
                <w:color w:val="000000"/>
                <w:sz w:val="24"/>
                <w:szCs w:val="24"/>
              </w:rPr>
              <w:t>963</w:t>
            </w:r>
            <w:r w:rsidR="006802FF" w:rsidRPr="00737DBE">
              <w:rPr>
                <w:rFonts w:ascii="Times New Roman" w:eastAsia="Times New Roman" w:hAnsi="Times New Roman" w:cs="Times New Roman"/>
                <w:color w:val="000000"/>
                <w:sz w:val="24"/>
                <w:szCs w:val="24"/>
              </w:rPr>
              <w:t>,</w:t>
            </w:r>
            <w:r w:rsidR="004928DA">
              <w:rPr>
                <w:rFonts w:ascii="Times New Roman" w:eastAsia="Times New Roman" w:hAnsi="Times New Roman" w:cs="Times New Roman"/>
                <w:color w:val="000000"/>
                <w:sz w:val="24"/>
                <w:szCs w:val="24"/>
              </w:rPr>
              <w:t>695</w:t>
            </w:r>
            <w:r w:rsidRPr="00737DBE">
              <w:rPr>
                <w:rFonts w:ascii="Times New Roman" w:eastAsia="Times New Roman" w:hAnsi="Times New Roman" w:cs="Times New Roman"/>
                <w:color w:val="000000"/>
                <w:sz w:val="24"/>
                <w:szCs w:val="24"/>
              </w:rPr>
              <w:t xml:space="preserve"> </w:t>
            </w:r>
          </w:p>
        </w:tc>
        <w:tc>
          <w:tcPr>
            <w:tcW w:w="1336" w:type="dxa"/>
            <w:tcBorders>
              <w:top w:val="nil"/>
              <w:left w:val="nil"/>
              <w:bottom w:val="nil"/>
              <w:right w:val="nil"/>
            </w:tcBorders>
            <w:shd w:val="clear" w:color="auto" w:fill="auto"/>
            <w:noWrap/>
            <w:vAlign w:val="bottom"/>
            <w:hideMark/>
          </w:tcPr>
          <w:p w14:paraId="66305526" w14:textId="172D0014" w:rsidR="0072266A" w:rsidRPr="00737DBE" w:rsidRDefault="0072266A" w:rsidP="008B7144">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B033E9" w:rsidRPr="00737DBE">
              <w:rPr>
                <w:rFonts w:ascii="Times New Roman" w:eastAsia="Times New Roman" w:hAnsi="Times New Roman" w:cs="Times New Roman"/>
                <w:color w:val="000000"/>
                <w:sz w:val="24"/>
                <w:szCs w:val="24"/>
              </w:rPr>
              <w:t>1</w:t>
            </w:r>
            <w:r w:rsidRPr="00737DBE">
              <w:rPr>
                <w:rFonts w:ascii="Times New Roman" w:eastAsia="Times New Roman" w:hAnsi="Times New Roman" w:cs="Times New Roman"/>
                <w:color w:val="000000"/>
                <w:sz w:val="24"/>
                <w:szCs w:val="24"/>
              </w:rPr>
              <w:t>,</w:t>
            </w:r>
            <w:r w:rsidR="004928DA">
              <w:rPr>
                <w:rFonts w:ascii="Times New Roman" w:eastAsia="Times New Roman" w:hAnsi="Times New Roman" w:cs="Times New Roman"/>
                <w:color w:val="000000"/>
                <w:sz w:val="24"/>
                <w:szCs w:val="24"/>
              </w:rPr>
              <w:t>572</w:t>
            </w:r>
            <w:r w:rsidR="007E6F23" w:rsidRPr="00737DBE">
              <w:rPr>
                <w:rFonts w:ascii="Times New Roman" w:eastAsia="Times New Roman" w:hAnsi="Times New Roman" w:cs="Times New Roman"/>
                <w:color w:val="000000"/>
                <w:sz w:val="24"/>
                <w:szCs w:val="24"/>
              </w:rPr>
              <w:t>,</w:t>
            </w:r>
            <w:r w:rsidR="004928DA">
              <w:rPr>
                <w:rFonts w:ascii="Times New Roman" w:eastAsia="Times New Roman" w:hAnsi="Times New Roman" w:cs="Times New Roman"/>
                <w:color w:val="000000"/>
                <w:sz w:val="24"/>
                <w:szCs w:val="24"/>
              </w:rPr>
              <w:t>084</w:t>
            </w:r>
            <w:r w:rsidRPr="00737DBE">
              <w:rPr>
                <w:rFonts w:ascii="Times New Roman" w:eastAsia="Times New Roman" w:hAnsi="Times New Roman" w:cs="Times New Roman"/>
                <w:color w:val="000000"/>
                <w:sz w:val="24"/>
                <w:szCs w:val="24"/>
              </w:rPr>
              <w:t xml:space="preserve"> </w:t>
            </w:r>
          </w:p>
        </w:tc>
      </w:tr>
      <w:tr w:rsidR="008B7144" w:rsidRPr="00970B9A" w14:paraId="1B915B5F" w14:textId="77777777" w:rsidTr="009C70F5">
        <w:trPr>
          <w:trHeight w:val="300"/>
        </w:trPr>
        <w:tc>
          <w:tcPr>
            <w:tcW w:w="3510" w:type="dxa"/>
            <w:tcBorders>
              <w:top w:val="nil"/>
              <w:left w:val="nil"/>
              <w:bottom w:val="nil"/>
              <w:right w:val="nil"/>
            </w:tcBorders>
            <w:shd w:val="clear" w:color="auto" w:fill="auto"/>
            <w:noWrap/>
            <w:vAlign w:val="bottom"/>
          </w:tcPr>
          <w:p w14:paraId="081ADD66" w14:textId="77777777" w:rsidR="008B7144" w:rsidRPr="00970B9A" w:rsidRDefault="008B7144" w:rsidP="0072266A">
            <w:pPr>
              <w:spacing w:after="0" w:line="240" w:lineRule="auto"/>
              <w:rPr>
                <w:rFonts w:ascii="Times New Roman" w:eastAsia="Times New Roman" w:hAnsi="Times New Roman" w:cs="Times New Roman"/>
                <w:color w:val="000000"/>
                <w:sz w:val="24"/>
                <w:szCs w:val="24"/>
              </w:rPr>
            </w:pPr>
            <w:r w:rsidRPr="00970B9A">
              <w:rPr>
                <w:rFonts w:ascii="Times New Roman" w:eastAsia="Times New Roman" w:hAnsi="Times New Roman" w:cs="Times New Roman"/>
                <w:color w:val="000000"/>
                <w:sz w:val="24"/>
                <w:szCs w:val="24"/>
              </w:rPr>
              <w:t>Net Income</w:t>
            </w:r>
          </w:p>
        </w:tc>
        <w:tc>
          <w:tcPr>
            <w:tcW w:w="1336" w:type="dxa"/>
            <w:tcBorders>
              <w:top w:val="nil"/>
              <w:left w:val="nil"/>
              <w:bottom w:val="nil"/>
              <w:right w:val="nil"/>
            </w:tcBorders>
            <w:shd w:val="clear" w:color="auto" w:fill="auto"/>
            <w:noWrap/>
            <w:vAlign w:val="bottom"/>
          </w:tcPr>
          <w:p w14:paraId="09AC58CA" w14:textId="3A5CE3E1" w:rsidR="008B7144" w:rsidRPr="00737DBE" w:rsidRDefault="008B7144" w:rsidP="008B7144">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4928DA">
              <w:rPr>
                <w:rFonts w:ascii="Times New Roman" w:eastAsia="Times New Roman" w:hAnsi="Times New Roman" w:cs="Times New Roman"/>
                <w:color w:val="000000"/>
                <w:sz w:val="24"/>
                <w:szCs w:val="24"/>
              </w:rPr>
              <w:t>3</w:t>
            </w:r>
            <w:r w:rsidR="007E6F23" w:rsidRPr="00737DBE">
              <w:rPr>
                <w:rFonts w:ascii="Times New Roman" w:eastAsia="Times New Roman" w:hAnsi="Times New Roman" w:cs="Times New Roman"/>
                <w:color w:val="000000"/>
                <w:sz w:val="24"/>
                <w:szCs w:val="24"/>
              </w:rPr>
              <w:t>,</w:t>
            </w:r>
            <w:r w:rsidR="004928DA">
              <w:rPr>
                <w:rFonts w:ascii="Times New Roman" w:eastAsia="Times New Roman" w:hAnsi="Times New Roman" w:cs="Times New Roman"/>
                <w:color w:val="000000"/>
                <w:sz w:val="24"/>
                <w:szCs w:val="24"/>
              </w:rPr>
              <w:t>107</w:t>
            </w:r>
            <w:r w:rsidR="007E6F23" w:rsidRPr="00737DBE">
              <w:rPr>
                <w:rFonts w:ascii="Times New Roman" w:eastAsia="Times New Roman" w:hAnsi="Times New Roman" w:cs="Times New Roman"/>
                <w:color w:val="000000"/>
                <w:sz w:val="24"/>
                <w:szCs w:val="24"/>
              </w:rPr>
              <w:t>,</w:t>
            </w:r>
            <w:r w:rsidR="004928DA">
              <w:rPr>
                <w:rFonts w:ascii="Times New Roman" w:eastAsia="Times New Roman" w:hAnsi="Times New Roman" w:cs="Times New Roman"/>
                <w:color w:val="000000"/>
                <w:sz w:val="24"/>
                <w:szCs w:val="24"/>
              </w:rPr>
              <w:t>750</w:t>
            </w:r>
            <w:r w:rsidRPr="00737DBE">
              <w:rPr>
                <w:rFonts w:ascii="Times New Roman" w:eastAsia="Times New Roman" w:hAnsi="Times New Roman" w:cs="Times New Roman"/>
                <w:color w:val="000000"/>
                <w:sz w:val="24"/>
                <w:szCs w:val="24"/>
              </w:rPr>
              <w:t xml:space="preserve"> </w:t>
            </w:r>
          </w:p>
        </w:tc>
        <w:tc>
          <w:tcPr>
            <w:tcW w:w="1336" w:type="dxa"/>
            <w:tcBorders>
              <w:top w:val="nil"/>
              <w:left w:val="nil"/>
              <w:bottom w:val="nil"/>
              <w:right w:val="nil"/>
            </w:tcBorders>
            <w:shd w:val="clear" w:color="auto" w:fill="auto"/>
            <w:noWrap/>
            <w:vAlign w:val="bottom"/>
          </w:tcPr>
          <w:p w14:paraId="33D702D8" w14:textId="2DB96AE6" w:rsidR="008B7144" w:rsidRPr="00737DBE" w:rsidRDefault="008B7144" w:rsidP="008B7144">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B033E9" w:rsidRPr="00737DBE">
              <w:rPr>
                <w:rFonts w:ascii="Times New Roman" w:eastAsia="Times New Roman" w:hAnsi="Times New Roman" w:cs="Times New Roman"/>
                <w:color w:val="000000"/>
                <w:sz w:val="24"/>
                <w:szCs w:val="24"/>
              </w:rPr>
              <w:t>3</w:t>
            </w:r>
            <w:r w:rsidR="007E6F23" w:rsidRPr="00737DBE">
              <w:rPr>
                <w:rFonts w:ascii="Times New Roman" w:eastAsia="Times New Roman" w:hAnsi="Times New Roman" w:cs="Times New Roman"/>
                <w:color w:val="000000"/>
                <w:sz w:val="24"/>
                <w:szCs w:val="24"/>
              </w:rPr>
              <w:t>,</w:t>
            </w:r>
            <w:r w:rsidR="004928DA">
              <w:rPr>
                <w:rFonts w:ascii="Times New Roman" w:eastAsia="Times New Roman" w:hAnsi="Times New Roman" w:cs="Times New Roman"/>
                <w:color w:val="000000"/>
                <w:sz w:val="24"/>
                <w:szCs w:val="24"/>
              </w:rPr>
              <w:t>309</w:t>
            </w:r>
            <w:r w:rsidR="007E6F23" w:rsidRPr="00737DBE">
              <w:rPr>
                <w:rFonts w:ascii="Times New Roman" w:eastAsia="Times New Roman" w:hAnsi="Times New Roman" w:cs="Times New Roman"/>
                <w:color w:val="000000"/>
                <w:sz w:val="24"/>
                <w:szCs w:val="24"/>
              </w:rPr>
              <w:t>,</w:t>
            </w:r>
            <w:r w:rsidR="004928DA">
              <w:rPr>
                <w:rFonts w:ascii="Times New Roman" w:eastAsia="Times New Roman" w:hAnsi="Times New Roman" w:cs="Times New Roman"/>
                <w:color w:val="000000"/>
                <w:sz w:val="24"/>
                <w:szCs w:val="24"/>
              </w:rPr>
              <w:t>570</w:t>
            </w:r>
            <w:r w:rsidRPr="00737DBE">
              <w:rPr>
                <w:rFonts w:ascii="Times New Roman" w:eastAsia="Times New Roman" w:hAnsi="Times New Roman" w:cs="Times New Roman"/>
                <w:color w:val="000000"/>
                <w:sz w:val="24"/>
                <w:szCs w:val="24"/>
              </w:rPr>
              <w:t xml:space="preserve"> </w:t>
            </w:r>
          </w:p>
        </w:tc>
        <w:tc>
          <w:tcPr>
            <w:tcW w:w="1336" w:type="dxa"/>
            <w:tcBorders>
              <w:top w:val="nil"/>
              <w:left w:val="nil"/>
              <w:bottom w:val="nil"/>
              <w:right w:val="nil"/>
            </w:tcBorders>
            <w:shd w:val="clear" w:color="auto" w:fill="auto"/>
            <w:noWrap/>
            <w:vAlign w:val="bottom"/>
          </w:tcPr>
          <w:p w14:paraId="5A94DA8E" w14:textId="3CF9F10A" w:rsidR="008B7144" w:rsidRPr="00737DBE" w:rsidRDefault="008B7144" w:rsidP="008B7144">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4928DA">
              <w:rPr>
                <w:rFonts w:ascii="Times New Roman" w:eastAsia="Times New Roman" w:hAnsi="Times New Roman" w:cs="Times New Roman"/>
                <w:color w:val="000000"/>
                <w:sz w:val="24"/>
                <w:szCs w:val="24"/>
              </w:rPr>
              <w:t>4</w:t>
            </w:r>
            <w:r w:rsidRPr="00737DBE">
              <w:rPr>
                <w:rFonts w:ascii="Times New Roman" w:eastAsia="Times New Roman" w:hAnsi="Times New Roman" w:cs="Times New Roman"/>
                <w:color w:val="000000"/>
                <w:sz w:val="24"/>
                <w:szCs w:val="24"/>
              </w:rPr>
              <w:t>,</w:t>
            </w:r>
            <w:r w:rsidR="004928DA">
              <w:rPr>
                <w:rFonts w:ascii="Times New Roman" w:eastAsia="Times New Roman" w:hAnsi="Times New Roman" w:cs="Times New Roman"/>
                <w:color w:val="000000"/>
                <w:sz w:val="24"/>
                <w:szCs w:val="24"/>
              </w:rPr>
              <w:t>030</w:t>
            </w:r>
            <w:r w:rsidRPr="00737DBE">
              <w:rPr>
                <w:rFonts w:ascii="Times New Roman" w:eastAsia="Times New Roman" w:hAnsi="Times New Roman" w:cs="Times New Roman"/>
                <w:color w:val="000000"/>
                <w:sz w:val="24"/>
                <w:szCs w:val="24"/>
              </w:rPr>
              <w:t>,</w:t>
            </w:r>
            <w:r w:rsidR="004928DA">
              <w:rPr>
                <w:rFonts w:ascii="Times New Roman" w:eastAsia="Times New Roman" w:hAnsi="Times New Roman" w:cs="Times New Roman"/>
                <w:color w:val="000000"/>
                <w:sz w:val="24"/>
                <w:szCs w:val="24"/>
              </w:rPr>
              <w:t>718</w:t>
            </w:r>
            <w:r w:rsidRPr="00737DBE">
              <w:rPr>
                <w:rFonts w:ascii="Times New Roman" w:eastAsia="Times New Roman" w:hAnsi="Times New Roman" w:cs="Times New Roman"/>
                <w:color w:val="000000"/>
                <w:sz w:val="24"/>
                <w:szCs w:val="24"/>
              </w:rPr>
              <w:t xml:space="preserve"> </w:t>
            </w:r>
          </w:p>
        </w:tc>
      </w:tr>
      <w:tr w:rsidR="008B7144" w:rsidRPr="00970B9A" w14:paraId="7797F0FF" w14:textId="77777777" w:rsidTr="009C70F5">
        <w:trPr>
          <w:trHeight w:val="300"/>
        </w:trPr>
        <w:tc>
          <w:tcPr>
            <w:tcW w:w="3510" w:type="dxa"/>
            <w:tcBorders>
              <w:top w:val="nil"/>
              <w:left w:val="nil"/>
              <w:bottom w:val="nil"/>
              <w:right w:val="nil"/>
            </w:tcBorders>
            <w:shd w:val="clear" w:color="auto" w:fill="auto"/>
            <w:noWrap/>
            <w:vAlign w:val="bottom"/>
          </w:tcPr>
          <w:p w14:paraId="326B0090" w14:textId="77777777" w:rsidR="008B7144" w:rsidRPr="00970B9A" w:rsidRDefault="008B7144" w:rsidP="0072266A">
            <w:pPr>
              <w:spacing w:after="0" w:line="240" w:lineRule="auto"/>
              <w:rPr>
                <w:rFonts w:ascii="Times New Roman" w:eastAsia="Times New Roman" w:hAnsi="Times New Roman" w:cs="Times New Roman"/>
                <w:color w:val="000000"/>
                <w:sz w:val="24"/>
                <w:szCs w:val="24"/>
              </w:rPr>
            </w:pPr>
            <w:r w:rsidRPr="00970B9A">
              <w:rPr>
                <w:rFonts w:ascii="Times New Roman" w:eastAsia="Times New Roman" w:hAnsi="Times New Roman" w:cs="Times New Roman"/>
                <w:color w:val="000000"/>
                <w:sz w:val="24"/>
                <w:szCs w:val="24"/>
              </w:rPr>
              <w:t>Depreciation</w:t>
            </w:r>
          </w:p>
        </w:tc>
        <w:tc>
          <w:tcPr>
            <w:tcW w:w="1336" w:type="dxa"/>
            <w:tcBorders>
              <w:top w:val="nil"/>
              <w:left w:val="nil"/>
              <w:bottom w:val="nil"/>
              <w:right w:val="nil"/>
            </w:tcBorders>
            <w:shd w:val="clear" w:color="auto" w:fill="auto"/>
            <w:noWrap/>
            <w:vAlign w:val="bottom"/>
          </w:tcPr>
          <w:p w14:paraId="4E015EDE" w14:textId="56786D59" w:rsidR="008B7144" w:rsidRPr="00737DBE" w:rsidRDefault="008B7144" w:rsidP="0072266A">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2,</w:t>
            </w:r>
            <w:r w:rsidR="00D724E7" w:rsidRPr="00737DBE">
              <w:rPr>
                <w:rFonts w:ascii="Times New Roman" w:eastAsia="Times New Roman" w:hAnsi="Times New Roman" w:cs="Times New Roman"/>
                <w:color w:val="000000"/>
                <w:sz w:val="24"/>
                <w:szCs w:val="24"/>
              </w:rPr>
              <w:t>1</w:t>
            </w:r>
            <w:r w:rsidRPr="00737DBE">
              <w:rPr>
                <w:rFonts w:ascii="Times New Roman" w:eastAsia="Times New Roman" w:hAnsi="Times New Roman" w:cs="Times New Roman"/>
                <w:color w:val="000000"/>
                <w:sz w:val="24"/>
                <w:szCs w:val="24"/>
              </w:rPr>
              <w:t xml:space="preserve">00,000 </w:t>
            </w:r>
          </w:p>
        </w:tc>
        <w:tc>
          <w:tcPr>
            <w:tcW w:w="1336" w:type="dxa"/>
            <w:tcBorders>
              <w:top w:val="nil"/>
              <w:left w:val="nil"/>
              <w:bottom w:val="nil"/>
              <w:right w:val="nil"/>
            </w:tcBorders>
            <w:shd w:val="clear" w:color="auto" w:fill="auto"/>
            <w:noWrap/>
            <w:vAlign w:val="bottom"/>
          </w:tcPr>
          <w:p w14:paraId="25A13A39" w14:textId="38075526" w:rsidR="008B7144" w:rsidRPr="00737DBE" w:rsidRDefault="008B7144" w:rsidP="008B7144">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2,</w:t>
            </w:r>
            <w:r w:rsidR="00B033E9" w:rsidRPr="00737DBE">
              <w:rPr>
                <w:rFonts w:ascii="Times New Roman" w:eastAsia="Times New Roman" w:hAnsi="Times New Roman" w:cs="Times New Roman"/>
                <w:color w:val="000000"/>
                <w:sz w:val="24"/>
                <w:szCs w:val="24"/>
              </w:rPr>
              <w:t>0</w:t>
            </w:r>
            <w:r w:rsidR="00AB4ABC" w:rsidRPr="00737DBE">
              <w:rPr>
                <w:rFonts w:ascii="Times New Roman" w:eastAsia="Times New Roman" w:hAnsi="Times New Roman" w:cs="Times New Roman"/>
                <w:color w:val="000000"/>
                <w:sz w:val="24"/>
                <w:szCs w:val="24"/>
              </w:rPr>
              <w:t>00</w:t>
            </w:r>
            <w:r w:rsidRPr="00737DBE">
              <w:rPr>
                <w:rFonts w:ascii="Times New Roman" w:eastAsia="Times New Roman" w:hAnsi="Times New Roman" w:cs="Times New Roman"/>
                <w:color w:val="000000"/>
                <w:sz w:val="24"/>
                <w:szCs w:val="24"/>
              </w:rPr>
              <w:t xml:space="preserve">,000 </w:t>
            </w:r>
          </w:p>
        </w:tc>
        <w:tc>
          <w:tcPr>
            <w:tcW w:w="1336" w:type="dxa"/>
            <w:tcBorders>
              <w:top w:val="nil"/>
              <w:left w:val="nil"/>
              <w:bottom w:val="nil"/>
              <w:right w:val="nil"/>
            </w:tcBorders>
            <w:shd w:val="clear" w:color="auto" w:fill="auto"/>
            <w:noWrap/>
            <w:vAlign w:val="bottom"/>
          </w:tcPr>
          <w:p w14:paraId="354372CD" w14:textId="46183081" w:rsidR="008B7144" w:rsidRPr="00737DBE" w:rsidRDefault="008B7144" w:rsidP="008B7144">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2,</w:t>
            </w:r>
            <w:r w:rsidR="00D724E7" w:rsidRPr="00737DBE">
              <w:rPr>
                <w:rFonts w:ascii="Times New Roman" w:eastAsia="Times New Roman" w:hAnsi="Times New Roman" w:cs="Times New Roman"/>
                <w:color w:val="000000"/>
                <w:sz w:val="24"/>
                <w:szCs w:val="24"/>
              </w:rPr>
              <w:t>1</w:t>
            </w:r>
            <w:r w:rsidR="00AB4ABC" w:rsidRPr="00737DBE">
              <w:rPr>
                <w:rFonts w:ascii="Times New Roman" w:eastAsia="Times New Roman" w:hAnsi="Times New Roman" w:cs="Times New Roman"/>
                <w:color w:val="000000"/>
                <w:sz w:val="24"/>
                <w:szCs w:val="24"/>
              </w:rPr>
              <w:t>00</w:t>
            </w:r>
            <w:r w:rsidRPr="00737DBE">
              <w:rPr>
                <w:rFonts w:ascii="Times New Roman" w:eastAsia="Times New Roman" w:hAnsi="Times New Roman" w:cs="Times New Roman"/>
                <w:color w:val="000000"/>
                <w:sz w:val="24"/>
                <w:szCs w:val="24"/>
              </w:rPr>
              <w:t>,</w:t>
            </w:r>
            <w:r w:rsidR="00AB4ABC" w:rsidRPr="00737DBE">
              <w:rPr>
                <w:rFonts w:ascii="Times New Roman" w:eastAsia="Times New Roman" w:hAnsi="Times New Roman" w:cs="Times New Roman"/>
                <w:color w:val="000000"/>
                <w:sz w:val="24"/>
                <w:szCs w:val="24"/>
              </w:rPr>
              <w:t>0</w:t>
            </w:r>
            <w:r w:rsidRPr="00737DBE">
              <w:rPr>
                <w:rFonts w:ascii="Times New Roman" w:eastAsia="Times New Roman" w:hAnsi="Times New Roman" w:cs="Times New Roman"/>
                <w:color w:val="000000"/>
                <w:sz w:val="24"/>
                <w:szCs w:val="24"/>
              </w:rPr>
              <w:t xml:space="preserve">00 </w:t>
            </w:r>
          </w:p>
        </w:tc>
      </w:tr>
      <w:tr w:rsidR="008B7144" w:rsidRPr="00970B9A" w14:paraId="4FB62466" w14:textId="77777777" w:rsidTr="009C70F5">
        <w:trPr>
          <w:trHeight w:val="300"/>
        </w:trPr>
        <w:tc>
          <w:tcPr>
            <w:tcW w:w="3510" w:type="dxa"/>
            <w:tcBorders>
              <w:top w:val="nil"/>
              <w:left w:val="nil"/>
              <w:bottom w:val="nil"/>
              <w:right w:val="nil"/>
            </w:tcBorders>
            <w:shd w:val="clear" w:color="auto" w:fill="auto"/>
            <w:noWrap/>
            <w:vAlign w:val="bottom"/>
            <w:hideMark/>
          </w:tcPr>
          <w:p w14:paraId="1B054E44" w14:textId="77777777" w:rsidR="008B7144" w:rsidRPr="00970B9A" w:rsidRDefault="008B7144" w:rsidP="0072266A">
            <w:pPr>
              <w:spacing w:after="0" w:line="240" w:lineRule="auto"/>
              <w:rPr>
                <w:rFonts w:ascii="Times New Roman" w:eastAsia="Times New Roman" w:hAnsi="Times New Roman" w:cs="Times New Roman"/>
                <w:color w:val="000000"/>
                <w:sz w:val="24"/>
                <w:szCs w:val="24"/>
              </w:rPr>
            </w:pPr>
            <w:r w:rsidRPr="00970B9A">
              <w:rPr>
                <w:rFonts w:ascii="Times New Roman" w:eastAsia="Times New Roman" w:hAnsi="Times New Roman" w:cs="Times New Roman"/>
                <w:color w:val="000000"/>
                <w:sz w:val="24"/>
                <w:szCs w:val="24"/>
              </w:rPr>
              <w:t>Capital Projects</w:t>
            </w:r>
          </w:p>
        </w:tc>
        <w:tc>
          <w:tcPr>
            <w:tcW w:w="1336" w:type="dxa"/>
            <w:tcBorders>
              <w:top w:val="nil"/>
              <w:left w:val="nil"/>
              <w:bottom w:val="nil"/>
              <w:right w:val="nil"/>
            </w:tcBorders>
            <w:shd w:val="clear" w:color="auto" w:fill="auto"/>
            <w:noWrap/>
            <w:vAlign w:val="bottom"/>
            <w:hideMark/>
          </w:tcPr>
          <w:p w14:paraId="35984246" w14:textId="05235AD0" w:rsidR="008B7144" w:rsidRPr="00737DBE" w:rsidRDefault="008B7144" w:rsidP="008B7144">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B033E9" w:rsidRPr="00737DBE">
              <w:rPr>
                <w:rFonts w:ascii="Times New Roman" w:eastAsia="Times New Roman" w:hAnsi="Times New Roman" w:cs="Times New Roman"/>
                <w:color w:val="000000"/>
                <w:sz w:val="24"/>
                <w:szCs w:val="24"/>
              </w:rPr>
              <w:t>5</w:t>
            </w:r>
            <w:r w:rsidRPr="00737DBE">
              <w:rPr>
                <w:rFonts w:ascii="Times New Roman" w:eastAsia="Times New Roman" w:hAnsi="Times New Roman" w:cs="Times New Roman"/>
                <w:color w:val="000000"/>
                <w:sz w:val="24"/>
                <w:szCs w:val="24"/>
              </w:rPr>
              <w:t>00,000)</w:t>
            </w:r>
          </w:p>
        </w:tc>
        <w:tc>
          <w:tcPr>
            <w:tcW w:w="1336" w:type="dxa"/>
            <w:tcBorders>
              <w:top w:val="nil"/>
              <w:left w:val="nil"/>
              <w:bottom w:val="nil"/>
              <w:right w:val="nil"/>
            </w:tcBorders>
            <w:shd w:val="clear" w:color="auto" w:fill="auto"/>
            <w:noWrap/>
            <w:vAlign w:val="bottom"/>
            <w:hideMark/>
          </w:tcPr>
          <w:p w14:paraId="2D333A6B" w14:textId="475446E6" w:rsidR="008B7144" w:rsidRPr="00737DBE" w:rsidRDefault="008B7144" w:rsidP="008B7144">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B033E9" w:rsidRPr="00737DBE">
              <w:rPr>
                <w:rFonts w:ascii="Times New Roman" w:eastAsia="Times New Roman" w:hAnsi="Times New Roman" w:cs="Times New Roman"/>
                <w:color w:val="000000"/>
                <w:sz w:val="24"/>
                <w:szCs w:val="24"/>
              </w:rPr>
              <w:t>5</w:t>
            </w:r>
            <w:r w:rsidRPr="00737DBE">
              <w:rPr>
                <w:rFonts w:ascii="Times New Roman" w:eastAsia="Times New Roman" w:hAnsi="Times New Roman" w:cs="Times New Roman"/>
                <w:color w:val="000000"/>
                <w:sz w:val="24"/>
                <w:szCs w:val="24"/>
              </w:rPr>
              <w:t>00,000)</w:t>
            </w:r>
          </w:p>
        </w:tc>
        <w:tc>
          <w:tcPr>
            <w:tcW w:w="1336" w:type="dxa"/>
            <w:tcBorders>
              <w:top w:val="nil"/>
              <w:left w:val="nil"/>
              <w:bottom w:val="nil"/>
              <w:right w:val="nil"/>
            </w:tcBorders>
            <w:shd w:val="clear" w:color="auto" w:fill="auto"/>
            <w:noWrap/>
            <w:vAlign w:val="bottom"/>
            <w:hideMark/>
          </w:tcPr>
          <w:p w14:paraId="2154DD2F" w14:textId="718D957E" w:rsidR="008B7144" w:rsidRPr="00737DBE" w:rsidRDefault="008B7144" w:rsidP="008B7144">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B033E9" w:rsidRPr="00737DBE">
              <w:rPr>
                <w:rFonts w:ascii="Times New Roman" w:eastAsia="Times New Roman" w:hAnsi="Times New Roman" w:cs="Times New Roman"/>
                <w:color w:val="000000"/>
                <w:sz w:val="24"/>
                <w:szCs w:val="24"/>
              </w:rPr>
              <w:t>5</w:t>
            </w:r>
            <w:r w:rsidRPr="00737DBE">
              <w:rPr>
                <w:rFonts w:ascii="Times New Roman" w:eastAsia="Times New Roman" w:hAnsi="Times New Roman" w:cs="Times New Roman"/>
                <w:color w:val="000000"/>
                <w:sz w:val="24"/>
                <w:szCs w:val="24"/>
              </w:rPr>
              <w:t>00,000)</w:t>
            </w:r>
          </w:p>
        </w:tc>
      </w:tr>
      <w:tr w:rsidR="008B7144" w:rsidRPr="00970B9A" w14:paraId="270D1D85" w14:textId="77777777" w:rsidTr="009C70F5">
        <w:trPr>
          <w:trHeight w:val="300"/>
        </w:trPr>
        <w:tc>
          <w:tcPr>
            <w:tcW w:w="3510" w:type="dxa"/>
            <w:tcBorders>
              <w:top w:val="nil"/>
              <w:left w:val="nil"/>
              <w:bottom w:val="nil"/>
              <w:right w:val="nil"/>
            </w:tcBorders>
            <w:shd w:val="clear" w:color="auto" w:fill="auto"/>
            <w:noWrap/>
            <w:vAlign w:val="bottom"/>
            <w:hideMark/>
          </w:tcPr>
          <w:p w14:paraId="199F2C1B" w14:textId="77777777" w:rsidR="008B7144" w:rsidRPr="00970B9A" w:rsidRDefault="008B7144" w:rsidP="0072266A">
            <w:pPr>
              <w:spacing w:after="0" w:line="240" w:lineRule="auto"/>
              <w:rPr>
                <w:rFonts w:ascii="Times New Roman" w:eastAsia="Times New Roman" w:hAnsi="Times New Roman" w:cs="Times New Roman"/>
                <w:color w:val="000000"/>
                <w:sz w:val="24"/>
                <w:szCs w:val="24"/>
              </w:rPr>
            </w:pPr>
            <w:r w:rsidRPr="00970B9A">
              <w:rPr>
                <w:rFonts w:ascii="Times New Roman" w:eastAsia="Times New Roman" w:hAnsi="Times New Roman" w:cs="Times New Roman"/>
                <w:color w:val="000000"/>
                <w:sz w:val="24"/>
                <w:szCs w:val="24"/>
              </w:rPr>
              <w:t>Tribal Dividend</w:t>
            </w:r>
          </w:p>
        </w:tc>
        <w:tc>
          <w:tcPr>
            <w:tcW w:w="1336" w:type="dxa"/>
            <w:tcBorders>
              <w:top w:val="nil"/>
              <w:left w:val="nil"/>
              <w:bottom w:val="nil"/>
              <w:right w:val="nil"/>
            </w:tcBorders>
            <w:shd w:val="clear" w:color="auto" w:fill="auto"/>
            <w:noWrap/>
            <w:vAlign w:val="bottom"/>
            <w:hideMark/>
          </w:tcPr>
          <w:p w14:paraId="0A6BD37D" w14:textId="289E6C4F" w:rsidR="008B7144" w:rsidRPr="00737DBE" w:rsidRDefault="008B7144"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b/>
                <w:color w:val="000000"/>
                <w:sz w:val="24"/>
                <w:szCs w:val="24"/>
              </w:rPr>
              <w:t xml:space="preserve">   (</w:t>
            </w:r>
            <w:r w:rsidR="00B033E9" w:rsidRPr="00737DBE">
              <w:rPr>
                <w:rFonts w:ascii="Times New Roman" w:eastAsia="Times New Roman" w:hAnsi="Times New Roman" w:cs="Times New Roman"/>
                <w:b/>
                <w:color w:val="000000"/>
                <w:sz w:val="24"/>
                <w:szCs w:val="24"/>
              </w:rPr>
              <w:t>1</w:t>
            </w:r>
            <w:r w:rsidRPr="00737DBE">
              <w:rPr>
                <w:rFonts w:ascii="Times New Roman" w:eastAsia="Times New Roman" w:hAnsi="Times New Roman" w:cs="Times New Roman"/>
                <w:b/>
                <w:color w:val="000000"/>
                <w:sz w:val="24"/>
                <w:szCs w:val="24"/>
              </w:rPr>
              <w:t>,</w:t>
            </w:r>
            <w:r w:rsidR="00B033E9" w:rsidRPr="00737DBE">
              <w:rPr>
                <w:rFonts w:ascii="Times New Roman" w:eastAsia="Times New Roman" w:hAnsi="Times New Roman" w:cs="Times New Roman"/>
                <w:b/>
                <w:color w:val="000000"/>
                <w:sz w:val="24"/>
                <w:szCs w:val="24"/>
              </w:rPr>
              <w:t>0</w:t>
            </w:r>
            <w:r w:rsidRPr="00737DBE">
              <w:rPr>
                <w:rFonts w:ascii="Times New Roman" w:eastAsia="Times New Roman" w:hAnsi="Times New Roman" w:cs="Times New Roman"/>
                <w:b/>
                <w:color w:val="000000"/>
                <w:sz w:val="24"/>
                <w:szCs w:val="24"/>
              </w:rPr>
              <w:t>00,000)</w:t>
            </w:r>
          </w:p>
        </w:tc>
        <w:tc>
          <w:tcPr>
            <w:tcW w:w="1336" w:type="dxa"/>
            <w:tcBorders>
              <w:top w:val="nil"/>
              <w:left w:val="nil"/>
              <w:bottom w:val="nil"/>
              <w:right w:val="nil"/>
            </w:tcBorders>
            <w:shd w:val="clear" w:color="auto" w:fill="auto"/>
            <w:noWrap/>
            <w:vAlign w:val="bottom"/>
            <w:hideMark/>
          </w:tcPr>
          <w:p w14:paraId="659D276B" w14:textId="4199A639" w:rsidR="008B7144" w:rsidRPr="00737DBE" w:rsidRDefault="008B7144"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b/>
                <w:color w:val="000000"/>
                <w:sz w:val="24"/>
                <w:szCs w:val="24"/>
              </w:rPr>
              <w:t xml:space="preserve">   (</w:t>
            </w:r>
            <w:r w:rsidR="00B033E9" w:rsidRPr="00737DBE">
              <w:rPr>
                <w:rFonts w:ascii="Times New Roman" w:eastAsia="Times New Roman" w:hAnsi="Times New Roman" w:cs="Times New Roman"/>
                <w:b/>
                <w:color w:val="000000"/>
                <w:sz w:val="24"/>
                <w:szCs w:val="24"/>
              </w:rPr>
              <w:t>1</w:t>
            </w:r>
            <w:r w:rsidRPr="00737DBE">
              <w:rPr>
                <w:rFonts w:ascii="Times New Roman" w:eastAsia="Times New Roman" w:hAnsi="Times New Roman" w:cs="Times New Roman"/>
                <w:b/>
                <w:color w:val="000000"/>
                <w:sz w:val="24"/>
                <w:szCs w:val="24"/>
              </w:rPr>
              <w:t>,</w:t>
            </w:r>
            <w:r w:rsidR="00B033E9" w:rsidRPr="00737DBE">
              <w:rPr>
                <w:rFonts w:ascii="Times New Roman" w:eastAsia="Times New Roman" w:hAnsi="Times New Roman" w:cs="Times New Roman"/>
                <w:b/>
                <w:color w:val="000000"/>
                <w:sz w:val="24"/>
                <w:szCs w:val="24"/>
              </w:rPr>
              <w:t>5</w:t>
            </w:r>
            <w:r w:rsidR="00C059D2" w:rsidRPr="00737DBE">
              <w:rPr>
                <w:rFonts w:ascii="Times New Roman" w:eastAsia="Times New Roman" w:hAnsi="Times New Roman" w:cs="Times New Roman"/>
                <w:b/>
                <w:color w:val="000000"/>
                <w:sz w:val="24"/>
                <w:szCs w:val="24"/>
              </w:rPr>
              <w:t>00</w:t>
            </w:r>
            <w:r w:rsidRPr="00737DBE">
              <w:rPr>
                <w:rFonts w:ascii="Times New Roman" w:eastAsia="Times New Roman" w:hAnsi="Times New Roman" w:cs="Times New Roman"/>
                <w:b/>
                <w:color w:val="000000"/>
                <w:sz w:val="24"/>
                <w:szCs w:val="24"/>
              </w:rPr>
              <w:t>,000)</w:t>
            </w:r>
          </w:p>
        </w:tc>
        <w:tc>
          <w:tcPr>
            <w:tcW w:w="1336" w:type="dxa"/>
            <w:tcBorders>
              <w:top w:val="nil"/>
              <w:left w:val="nil"/>
              <w:bottom w:val="nil"/>
              <w:right w:val="nil"/>
            </w:tcBorders>
            <w:shd w:val="clear" w:color="auto" w:fill="auto"/>
            <w:noWrap/>
            <w:vAlign w:val="bottom"/>
            <w:hideMark/>
          </w:tcPr>
          <w:p w14:paraId="58FE18E0" w14:textId="68556906" w:rsidR="008B7144" w:rsidRPr="00737DBE" w:rsidRDefault="008B7144"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b/>
                <w:color w:val="000000"/>
                <w:sz w:val="24"/>
                <w:szCs w:val="24"/>
              </w:rPr>
              <w:t xml:space="preserve">   (</w:t>
            </w:r>
            <w:r w:rsidR="00336F7E" w:rsidRPr="00737DBE">
              <w:rPr>
                <w:rFonts w:ascii="Times New Roman" w:eastAsia="Times New Roman" w:hAnsi="Times New Roman" w:cs="Times New Roman"/>
                <w:b/>
                <w:color w:val="000000"/>
                <w:sz w:val="24"/>
                <w:szCs w:val="24"/>
              </w:rPr>
              <w:t>2</w:t>
            </w:r>
            <w:r w:rsidRPr="00737DBE">
              <w:rPr>
                <w:rFonts w:ascii="Times New Roman" w:eastAsia="Times New Roman" w:hAnsi="Times New Roman" w:cs="Times New Roman"/>
                <w:b/>
                <w:color w:val="000000"/>
                <w:sz w:val="24"/>
                <w:szCs w:val="24"/>
              </w:rPr>
              <w:t>,</w:t>
            </w:r>
            <w:r w:rsidR="00B033E9" w:rsidRPr="00737DBE">
              <w:rPr>
                <w:rFonts w:ascii="Times New Roman" w:eastAsia="Times New Roman" w:hAnsi="Times New Roman" w:cs="Times New Roman"/>
                <w:b/>
                <w:color w:val="000000"/>
                <w:sz w:val="24"/>
                <w:szCs w:val="24"/>
              </w:rPr>
              <w:t>0</w:t>
            </w:r>
            <w:r w:rsidR="007E6F23" w:rsidRPr="00737DBE">
              <w:rPr>
                <w:rFonts w:ascii="Times New Roman" w:eastAsia="Times New Roman" w:hAnsi="Times New Roman" w:cs="Times New Roman"/>
                <w:b/>
                <w:color w:val="000000"/>
                <w:sz w:val="24"/>
                <w:szCs w:val="24"/>
              </w:rPr>
              <w:t>0</w:t>
            </w:r>
            <w:r w:rsidR="00A22912" w:rsidRPr="00737DBE">
              <w:rPr>
                <w:rFonts w:ascii="Times New Roman" w:eastAsia="Times New Roman" w:hAnsi="Times New Roman" w:cs="Times New Roman"/>
                <w:b/>
                <w:color w:val="000000"/>
                <w:sz w:val="24"/>
                <w:szCs w:val="24"/>
              </w:rPr>
              <w:t>0</w:t>
            </w:r>
            <w:r w:rsidRPr="00737DBE">
              <w:rPr>
                <w:rFonts w:ascii="Times New Roman" w:eastAsia="Times New Roman" w:hAnsi="Times New Roman" w:cs="Times New Roman"/>
                <w:b/>
                <w:color w:val="000000"/>
                <w:sz w:val="24"/>
                <w:szCs w:val="24"/>
              </w:rPr>
              <w:t>,000)</w:t>
            </w:r>
          </w:p>
        </w:tc>
      </w:tr>
      <w:tr w:rsidR="00A868A9" w:rsidRPr="00970B9A" w14:paraId="1268161C" w14:textId="77777777" w:rsidTr="009C70F5">
        <w:trPr>
          <w:trHeight w:val="300"/>
        </w:trPr>
        <w:tc>
          <w:tcPr>
            <w:tcW w:w="3510" w:type="dxa"/>
            <w:tcBorders>
              <w:top w:val="nil"/>
              <w:left w:val="nil"/>
              <w:bottom w:val="nil"/>
              <w:right w:val="nil"/>
            </w:tcBorders>
            <w:shd w:val="clear" w:color="auto" w:fill="auto"/>
            <w:noWrap/>
            <w:vAlign w:val="bottom"/>
            <w:hideMark/>
          </w:tcPr>
          <w:p w14:paraId="3D32507B" w14:textId="77777777" w:rsidR="00A868A9" w:rsidRPr="00970B9A" w:rsidRDefault="00A868A9" w:rsidP="0072266A">
            <w:pPr>
              <w:spacing w:after="0" w:line="240" w:lineRule="auto"/>
              <w:rPr>
                <w:rFonts w:ascii="Times New Roman" w:eastAsia="Times New Roman" w:hAnsi="Times New Roman" w:cs="Times New Roman"/>
                <w:color w:val="000000"/>
                <w:sz w:val="24"/>
                <w:szCs w:val="24"/>
              </w:rPr>
            </w:pPr>
            <w:r w:rsidRPr="00970B9A">
              <w:rPr>
                <w:rFonts w:ascii="Times New Roman" w:eastAsia="Times New Roman" w:hAnsi="Times New Roman" w:cs="Times New Roman"/>
                <w:color w:val="000000"/>
                <w:sz w:val="24"/>
                <w:szCs w:val="24"/>
              </w:rPr>
              <w:t>Tribal Return on Investment</w:t>
            </w:r>
          </w:p>
        </w:tc>
        <w:tc>
          <w:tcPr>
            <w:tcW w:w="1336" w:type="dxa"/>
            <w:tcBorders>
              <w:top w:val="nil"/>
              <w:left w:val="nil"/>
              <w:bottom w:val="nil"/>
              <w:right w:val="nil"/>
            </w:tcBorders>
            <w:shd w:val="clear" w:color="auto" w:fill="auto"/>
            <w:noWrap/>
            <w:vAlign w:val="bottom"/>
            <w:hideMark/>
          </w:tcPr>
          <w:p w14:paraId="4E465E5E" w14:textId="51A33D39" w:rsidR="00A868A9" w:rsidRPr="00737DBE" w:rsidRDefault="00A868A9" w:rsidP="00A9410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B033E9" w:rsidRPr="00737DBE">
              <w:rPr>
                <w:rFonts w:ascii="Times New Roman" w:eastAsia="Times New Roman" w:hAnsi="Times New Roman" w:cs="Times New Roman"/>
                <w:color w:val="000000"/>
                <w:sz w:val="24"/>
                <w:szCs w:val="24"/>
              </w:rPr>
              <w:t>169,055</w:t>
            </w:r>
            <w:r w:rsidRPr="00737DBE">
              <w:rPr>
                <w:rFonts w:ascii="Times New Roman" w:eastAsia="Times New Roman" w:hAnsi="Times New Roman" w:cs="Times New Roman"/>
                <w:color w:val="000000"/>
                <w:sz w:val="24"/>
                <w:szCs w:val="24"/>
              </w:rPr>
              <w:t>)</w:t>
            </w:r>
          </w:p>
        </w:tc>
        <w:tc>
          <w:tcPr>
            <w:tcW w:w="1336" w:type="dxa"/>
            <w:tcBorders>
              <w:top w:val="nil"/>
              <w:left w:val="nil"/>
              <w:bottom w:val="nil"/>
              <w:right w:val="nil"/>
            </w:tcBorders>
            <w:shd w:val="clear" w:color="auto" w:fill="auto"/>
            <w:noWrap/>
            <w:vAlign w:val="bottom"/>
            <w:hideMark/>
          </w:tcPr>
          <w:p w14:paraId="7C9F1443" w14:textId="0F0129F0" w:rsidR="00A868A9" w:rsidRPr="00737DBE" w:rsidRDefault="00A868A9" w:rsidP="00A9410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970B9A" w:rsidRPr="00737DBE">
              <w:rPr>
                <w:rFonts w:ascii="Times New Roman" w:eastAsia="Times New Roman" w:hAnsi="Times New Roman" w:cs="Times New Roman"/>
                <w:color w:val="000000"/>
                <w:sz w:val="24"/>
                <w:szCs w:val="24"/>
              </w:rPr>
              <w:t>1</w:t>
            </w:r>
            <w:r w:rsidR="00B033E9" w:rsidRPr="00737DBE">
              <w:rPr>
                <w:rFonts w:ascii="Times New Roman" w:eastAsia="Times New Roman" w:hAnsi="Times New Roman" w:cs="Times New Roman"/>
                <w:color w:val="000000"/>
                <w:sz w:val="24"/>
                <w:szCs w:val="24"/>
              </w:rPr>
              <w:t>01</w:t>
            </w:r>
            <w:r w:rsidRPr="00737DBE">
              <w:rPr>
                <w:rFonts w:ascii="Times New Roman" w:eastAsia="Times New Roman" w:hAnsi="Times New Roman" w:cs="Times New Roman"/>
                <w:color w:val="000000"/>
                <w:sz w:val="24"/>
                <w:szCs w:val="24"/>
              </w:rPr>
              <w:t>,</w:t>
            </w:r>
            <w:r w:rsidR="00B033E9" w:rsidRPr="00737DBE">
              <w:rPr>
                <w:rFonts w:ascii="Times New Roman" w:eastAsia="Times New Roman" w:hAnsi="Times New Roman" w:cs="Times New Roman"/>
                <w:color w:val="000000"/>
                <w:sz w:val="24"/>
                <w:szCs w:val="24"/>
              </w:rPr>
              <w:t>180</w:t>
            </w:r>
            <w:r w:rsidRPr="00737DBE">
              <w:rPr>
                <w:rFonts w:ascii="Times New Roman" w:eastAsia="Times New Roman" w:hAnsi="Times New Roman" w:cs="Times New Roman"/>
                <w:color w:val="000000"/>
                <w:sz w:val="24"/>
                <w:szCs w:val="24"/>
              </w:rPr>
              <w:t>)</w:t>
            </w:r>
          </w:p>
        </w:tc>
        <w:tc>
          <w:tcPr>
            <w:tcW w:w="1336" w:type="dxa"/>
            <w:tcBorders>
              <w:top w:val="nil"/>
              <w:left w:val="nil"/>
              <w:bottom w:val="nil"/>
              <w:right w:val="nil"/>
            </w:tcBorders>
            <w:shd w:val="clear" w:color="auto" w:fill="auto"/>
            <w:noWrap/>
            <w:vAlign w:val="bottom"/>
            <w:hideMark/>
          </w:tcPr>
          <w:p w14:paraId="7DD93F8E" w14:textId="40E8CB0D" w:rsidR="00A868A9" w:rsidRPr="00737DBE" w:rsidRDefault="00A868A9" w:rsidP="00A9410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B033E9" w:rsidRPr="00737DBE">
              <w:rPr>
                <w:rFonts w:ascii="Times New Roman" w:eastAsia="Times New Roman" w:hAnsi="Times New Roman" w:cs="Times New Roman"/>
                <w:color w:val="000000"/>
                <w:sz w:val="24"/>
                <w:szCs w:val="24"/>
              </w:rPr>
              <w:t>29,317</w:t>
            </w:r>
            <w:r w:rsidRPr="00737DBE">
              <w:rPr>
                <w:rFonts w:ascii="Times New Roman" w:eastAsia="Times New Roman" w:hAnsi="Times New Roman" w:cs="Times New Roman"/>
                <w:color w:val="000000"/>
                <w:sz w:val="24"/>
                <w:szCs w:val="24"/>
              </w:rPr>
              <w:t>)</w:t>
            </w:r>
          </w:p>
        </w:tc>
      </w:tr>
      <w:tr w:rsidR="00A868A9" w:rsidRPr="00970B9A" w14:paraId="63BC6E3F" w14:textId="77777777" w:rsidTr="009C70F5">
        <w:trPr>
          <w:trHeight w:val="300"/>
        </w:trPr>
        <w:tc>
          <w:tcPr>
            <w:tcW w:w="3510" w:type="dxa"/>
            <w:tcBorders>
              <w:top w:val="nil"/>
              <w:left w:val="nil"/>
              <w:bottom w:val="nil"/>
              <w:right w:val="nil"/>
            </w:tcBorders>
            <w:shd w:val="clear" w:color="auto" w:fill="auto"/>
            <w:noWrap/>
            <w:vAlign w:val="bottom"/>
            <w:hideMark/>
          </w:tcPr>
          <w:p w14:paraId="3E24FCD3" w14:textId="77777777" w:rsidR="007E3285" w:rsidRPr="00970B9A" w:rsidRDefault="007E3285" w:rsidP="0072266A">
            <w:pPr>
              <w:spacing w:after="0" w:line="240" w:lineRule="auto"/>
              <w:rPr>
                <w:rFonts w:ascii="Times New Roman" w:eastAsia="Times New Roman" w:hAnsi="Times New Roman" w:cs="Times New Roman"/>
                <w:color w:val="000000"/>
                <w:sz w:val="24"/>
                <w:szCs w:val="24"/>
              </w:rPr>
            </w:pPr>
          </w:p>
          <w:p w14:paraId="2C03FD86" w14:textId="77777777" w:rsidR="00A868A9" w:rsidRPr="00970B9A" w:rsidRDefault="00A868A9" w:rsidP="0072266A">
            <w:pPr>
              <w:spacing w:after="0" w:line="240" w:lineRule="auto"/>
              <w:rPr>
                <w:rFonts w:ascii="Times New Roman" w:eastAsia="Times New Roman" w:hAnsi="Times New Roman" w:cs="Times New Roman"/>
                <w:color w:val="000000"/>
                <w:sz w:val="24"/>
                <w:szCs w:val="24"/>
              </w:rPr>
            </w:pPr>
            <w:r w:rsidRPr="00970B9A">
              <w:rPr>
                <w:rFonts w:ascii="Times New Roman" w:eastAsia="Times New Roman" w:hAnsi="Times New Roman" w:cs="Times New Roman"/>
                <w:color w:val="000000"/>
                <w:sz w:val="24"/>
                <w:szCs w:val="24"/>
              </w:rPr>
              <w:t>Principle</w:t>
            </w:r>
            <w:r w:rsidR="007E3285" w:rsidRPr="00970B9A">
              <w:rPr>
                <w:rFonts w:ascii="Times New Roman" w:eastAsia="Times New Roman" w:hAnsi="Times New Roman" w:cs="Times New Roman"/>
                <w:color w:val="000000"/>
                <w:sz w:val="24"/>
                <w:szCs w:val="24"/>
              </w:rPr>
              <w:t xml:space="preserve"> Loan</w:t>
            </w:r>
            <w:r w:rsidRPr="00970B9A">
              <w:rPr>
                <w:rFonts w:ascii="Times New Roman" w:eastAsia="Times New Roman" w:hAnsi="Times New Roman" w:cs="Times New Roman"/>
                <w:color w:val="000000"/>
                <w:sz w:val="24"/>
                <w:szCs w:val="24"/>
              </w:rPr>
              <w:t xml:space="preserve"> </w:t>
            </w:r>
            <w:r w:rsidR="007E3285" w:rsidRPr="00970B9A">
              <w:rPr>
                <w:rFonts w:ascii="Times New Roman" w:eastAsia="Times New Roman" w:hAnsi="Times New Roman" w:cs="Times New Roman"/>
                <w:color w:val="000000"/>
                <w:sz w:val="24"/>
                <w:szCs w:val="24"/>
              </w:rPr>
              <w:t xml:space="preserve">Payments $18M </w:t>
            </w:r>
          </w:p>
        </w:tc>
        <w:tc>
          <w:tcPr>
            <w:tcW w:w="1336" w:type="dxa"/>
            <w:tcBorders>
              <w:top w:val="nil"/>
              <w:left w:val="nil"/>
              <w:bottom w:val="nil"/>
              <w:right w:val="nil"/>
            </w:tcBorders>
            <w:shd w:val="clear" w:color="auto" w:fill="auto"/>
            <w:noWrap/>
            <w:vAlign w:val="bottom"/>
            <w:hideMark/>
          </w:tcPr>
          <w:p w14:paraId="3021D379" w14:textId="721AE547" w:rsidR="00A868A9" w:rsidRPr="00737DBE" w:rsidRDefault="00A868A9" w:rsidP="008B7144">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B033E9" w:rsidRPr="00737DBE">
              <w:rPr>
                <w:rFonts w:ascii="Times New Roman" w:eastAsia="Times New Roman" w:hAnsi="Times New Roman" w:cs="Times New Roman"/>
                <w:color w:val="000000"/>
                <w:sz w:val="24"/>
                <w:szCs w:val="24"/>
              </w:rPr>
              <w:t>2</w:t>
            </w:r>
            <w:r w:rsidRPr="00737DBE">
              <w:rPr>
                <w:rFonts w:ascii="Times New Roman" w:eastAsia="Times New Roman" w:hAnsi="Times New Roman" w:cs="Times New Roman"/>
                <w:color w:val="000000"/>
                <w:sz w:val="24"/>
                <w:szCs w:val="24"/>
              </w:rPr>
              <w:t>,</w:t>
            </w:r>
            <w:r w:rsidR="00B033E9" w:rsidRPr="00737DBE">
              <w:rPr>
                <w:rFonts w:ascii="Times New Roman" w:eastAsia="Times New Roman" w:hAnsi="Times New Roman" w:cs="Times New Roman"/>
                <w:color w:val="000000"/>
                <w:sz w:val="24"/>
                <w:szCs w:val="24"/>
              </w:rPr>
              <w:t>125</w:t>
            </w:r>
            <w:r w:rsidRPr="00737DBE">
              <w:rPr>
                <w:rFonts w:ascii="Times New Roman" w:eastAsia="Times New Roman" w:hAnsi="Times New Roman" w:cs="Times New Roman"/>
                <w:color w:val="000000"/>
                <w:sz w:val="24"/>
                <w:szCs w:val="24"/>
              </w:rPr>
              <w:t>,000)</w:t>
            </w:r>
          </w:p>
        </w:tc>
        <w:tc>
          <w:tcPr>
            <w:tcW w:w="1336" w:type="dxa"/>
            <w:tcBorders>
              <w:top w:val="nil"/>
              <w:left w:val="nil"/>
              <w:bottom w:val="nil"/>
              <w:right w:val="nil"/>
            </w:tcBorders>
            <w:shd w:val="clear" w:color="auto" w:fill="auto"/>
            <w:noWrap/>
            <w:vAlign w:val="bottom"/>
            <w:hideMark/>
          </w:tcPr>
          <w:p w14:paraId="1CBAA1F9" w14:textId="4138973F" w:rsidR="00A868A9" w:rsidRPr="00737DBE" w:rsidRDefault="00A868A9" w:rsidP="008B7144">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970B9A" w:rsidRPr="00737DBE">
              <w:rPr>
                <w:rFonts w:ascii="Times New Roman" w:eastAsia="Times New Roman" w:hAnsi="Times New Roman" w:cs="Times New Roman"/>
                <w:color w:val="000000"/>
                <w:sz w:val="24"/>
                <w:szCs w:val="24"/>
              </w:rPr>
              <w:t>2</w:t>
            </w:r>
            <w:r w:rsidRPr="00737DBE">
              <w:rPr>
                <w:rFonts w:ascii="Times New Roman" w:eastAsia="Times New Roman" w:hAnsi="Times New Roman" w:cs="Times New Roman"/>
                <w:color w:val="000000"/>
                <w:sz w:val="24"/>
                <w:szCs w:val="24"/>
              </w:rPr>
              <w:t>,</w:t>
            </w:r>
            <w:r w:rsidR="00B033E9" w:rsidRPr="00737DBE">
              <w:rPr>
                <w:rFonts w:ascii="Times New Roman" w:eastAsia="Times New Roman" w:hAnsi="Times New Roman" w:cs="Times New Roman"/>
                <w:color w:val="000000"/>
                <w:sz w:val="24"/>
                <w:szCs w:val="24"/>
              </w:rPr>
              <w:t>4</w:t>
            </w:r>
            <w:r w:rsidR="007E6F23" w:rsidRPr="00737DBE">
              <w:rPr>
                <w:rFonts w:ascii="Times New Roman" w:eastAsia="Times New Roman" w:hAnsi="Times New Roman" w:cs="Times New Roman"/>
                <w:color w:val="000000"/>
                <w:sz w:val="24"/>
                <w:szCs w:val="24"/>
              </w:rPr>
              <w:t>0</w:t>
            </w:r>
            <w:r w:rsidRPr="00737DBE">
              <w:rPr>
                <w:rFonts w:ascii="Times New Roman" w:eastAsia="Times New Roman" w:hAnsi="Times New Roman" w:cs="Times New Roman"/>
                <w:color w:val="000000"/>
                <w:sz w:val="24"/>
                <w:szCs w:val="24"/>
              </w:rPr>
              <w:t>0,000)</w:t>
            </w:r>
          </w:p>
        </w:tc>
        <w:tc>
          <w:tcPr>
            <w:tcW w:w="1336" w:type="dxa"/>
            <w:tcBorders>
              <w:top w:val="nil"/>
              <w:left w:val="nil"/>
              <w:bottom w:val="nil"/>
              <w:right w:val="nil"/>
            </w:tcBorders>
            <w:shd w:val="clear" w:color="auto" w:fill="auto"/>
            <w:noWrap/>
            <w:vAlign w:val="bottom"/>
            <w:hideMark/>
          </w:tcPr>
          <w:p w14:paraId="3EE49F34" w14:textId="200E59F1" w:rsidR="00A868A9" w:rsidRPr="00737DBE" w:rsidRDefault="00A868A9" w:rsidP="008B7144">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D724E7" w:rsidRPr="00737DBE">
              <w:rPr>
                <w:rFonts w:ascii="Times New Roman" w:eastAsia="Times New Roman" w:hAnsi="Times New Roman" w:cs="Times New Roman"/>
                <w:color w:val="000000"/>
                <w:sz w:val="24"/>
                <w:szCs w:val="24"/>
              </w:rPr>
              <w:t>2</w:t>
            </w:r>
            <w:r w:rsidRPr="00737DBE">
              <w:rPr>
                <w:rFonts w:ascii="Times New Roman" w:eastAsia="Times New Roman" w:hAnsi="Times New Roman" w:cs="Times New Roman"/>
                <w:color w:val="000000"/>
                <w:sz w:val="24"/>
                <w:szCs w:val="24"/>
              </w:rPr>
              <w:t>,</w:t>
            </w:r>
            <w:r w:rsidR="00B033E9" w:rsidRPr="00737DBE">
              <w:rPr>
                <w:rFonts w:ascii="Times New Roman" w:eastAsia="Times New Roman" w:hAnsi="Times New Roman" w:cs="Times New Roman"/>
                <w:color w:val="000000"/>
                <w:sz w:val="24"/>
                <w:szCs w:val="24"/>
              </w:rPr>
              <w:t>275</w:t>
            </w:r>
            <w:r w:rsidRPr="00737DBE">
              <w:rPr>
                <w:rFonts w:ascii="Times New Roman" w:eastAsia="Times New Roman" w:hAnsi="Times New Roman" w:cs="Times New Roman"/>
                <w:color w:val="000000"/>
                <w:sz w:val="24"/>
                <w:szCs w:val="24"/>
              </w:rPr>
              <w:t>,000)</w:t>
            </w:r>
          </w:p>
        </w:tc>
      </w:tr>
      <w:tr w:rsidR="00A868A9" w:rsidRPr="00970B9A" w14:paraId="25D00DFD" w14:textId="77777777" w:rsidTr="005D21DC">
        <w:trPr>
          <w:trHeight w:val="300"/>
        </w:trPr>
        <w:tc>
          <w:tcPr>
            <w:tcW w:w="3510" w:type="dxa"/>
            <w:tcBorders>
              <w:top w:val="nil"/>
              <w:left w:val="nil"/>
              <w:bottom w:val="nil"/>
              <w:right w:val="nil"/>
            </w:tcBorders>
            <w:shd w:val="clear" w:color="auto" w:fill="auto"/>
            <w:noWrap/>
            <w:vAlign w:val="bottom"/>
            <w:hideMark/>
          </w:tcPr>
          <w:p w14:paraId="4EDE575A" w14:textId="35BE2295" w:rsidR="00A868A9" w:rsidRPr="00970B9A" w:rsidRDefault="00D724E7" w:rsidP="0072266A">
            <w:pPr>
              <w:spacing w:after="0" w:line="240" w:lineRule="auto"/>
              <w:rPr>
                <w:rFonts w:ascii="Times New Roman" w:eastAsia="Times New Roman" w:hAnsi="Times New Roman" w:cs="Times New Roman"/>
                <w:color w:val="000000"/>
                <w:sz w:val="24"/>
                <w:szCs w:val="24"/>
              </w:rPr>
            </w:pPr>
            <w:r w:rsidRPr="00970B9A">
              <w:rPr>
                <w:rFonts w:ascii="Times New Roman" w:eastAsia="Times New Roman" w:hAnsi="Times New Roman" w:cs="Times New Roman"/>
                <w:color w:val="000000"/>
                <w:sz w:val="24"/>
                <w:szCs w:val="24"/>
              </w:rPr>
              <w:t xml:space="preserve">PTP </w:t>
            </w:r>
            <w:r w:rsidR="007E3285" w:rsidRPr="00970B9A">
              <w:rPr>
                <w:rFonts w:ascii="Times New Roman" w:eastAsia="Times New Roman" w:hAnsi="Times New Roman" w:cs="Times New Roman"/>
                <w:color w:val="000000"/>
                <w:sz w:val="24"/>
                <w:szCs w:val="24"/>
              </w:rPr>
              <w:t>P</w:t>
            </w:r>
            <w:r w:rsidR="00A868A9" w:rsidRPr="00970B9A">
              <w:rPr>
                <w:rFonts w:ascii="Times New Roman" w:eastAsia="Times New Roman" w:hAnsi="Times New Roman" w:cs="Times New Roman"/>
                <w:color w:val="000000"/>
                <w:sz w:val="24"/>
                <w:szCs w:val="24"/>
              </w:rPr>
              <w:t xml:space="preserve">rinciple </w:t>
            </w:r>
            <w:r w:rsidR="007E3285" w:rsidRPr="00970B9A">
              <w:rPr>
                <w:rFonts w:ascii="Times New Roman" w:eastAsia="Times New Roman" w:hAnsi="Times New Roman" w:cs="Times New Roman"/>
                <w:color w:val="000000"/>
                <w:sz w:val="24"/>
                <w:szCs w:val="24"/>
              </w:rPr>
              <w:t>P</w:t>
            </w:r>
            <w:r w:rsidR="00A868A9" w:rsidRPr="00970B9A">
              <w:rPr>
                <w:rFonts w:ascii="Times New Roman" w:eastAsia="Times New Roman" w:hAnsi="Times New Roman" w:cs="Times New Roman"/>
                <w:color w:val="000000"/>
                <w:sz w:val="24"/>
                <w:szCs w:val="24"/>
              </w:rPr>
              <w:t xml:space="preserve">ayment </w:t>
            </w:r>
          </w:p>
        </w:tc>
        <w:tc>
          <w:tcPr>
            <w:tcW w:w="1336" w:type="dxa"/>
            <w:tcBorders>
              <w:top w:val="nil"/>
              <w:left w:val="nil"/>
              <w:bottom w:val="single" w:sz="4" w:space="0" w:color="auto"/>
              <w:right w:val="nil"/>
            </w:tcBorders>
            <w:shd w:val="clear" w:color="auto" w:fill="auto"/>
            <w:noWrap/>
            <w:vAlign w:val="bottom"/>
            <w:hideMark/>
          </w:tcPr>
          <w:p w14:paraId="42CA0A30" w14:textId="5A562095" w:rsidR="00A868A9" w:rsidRPr="00737DBE" w:rsidRDefault="00A868A9" w:rsidP="0072266A">
            <w:pPr>
              <w:spacing w:after="0" w:line="240" w:lineRule="auto"/>
              <w:jc w:val="right"/>
              <w:rPr>
                <w:rFonts w:ascii="Times New Roman" w:eastAsia="Times New Roman" w:hAnsi="Times New Roman" w:cs="Times New Roman"/>
                <w:b/>
                <w:color w:val="000000"/>
                <w:sz w:val="24"/>
                <w:szCs w:val="24"/>
              </w:rPr>
            </w:pPr>
            <w:r w:rsidRPr="00737DBE">
              <w:rPr>
                <w:rFonts w:ascii="Times New Roman" w:eastAsia="Times New Roman" w:hAnsi="Times New Roman" w:cs="Times New Roman"/>
                <w:color w:val="000000"/>
                <w:sz w:val="24"/>
                <w:szCs w:val="24"/>
              </w:rPr>
              <w:t xml:space="preserve">                    </w:t>
            </w:r>
            <w:r w:rsidR="00981323" w:rsidRPr="00737DBE">
              <w:rPr>
                <w:rFonts w:ascii="Times New Roman" w:eastAsia="Times New Roman" w:hAnsi="Times New Roman" w:cs="Times New Roman"/>
                <w:color w:val="000000"/>
                <w:sz w:val="24"/>
                <w:szCs w:val="24"/>
              </w:rPr>
              <w:t>(</w:t>
            </w:r>
            <w:r w:rsidR="00CB4119" w:rsidRPr="00737DBE">
              <w:rPr>
                <w:rFonts w:ascii="Times New Roman" w:eastAsia="Times New Roman" w:hAnsi="Times New Roman" w:cs="Times New Roman"/>
                <w:color w:val="000000"/>
                <w:sz w:val="24"/>
                <w:szCs w:val="24"/>
              </w:rPr>
              <w:t>1,</w:t>
            </w:r>
            <w:r w:rsidR="00970B9A" w:rsidRPr="00737DBE">
              <w:rPr>
                <w:rFonts w:ascii="Times New Roman" w:eastAsia="Times New Roman" w:hAnsi="Times New Roman" w:cs="Times New Roman"/>
                <w:color w:val="000000"/>
                <w:sz w:val="24"/>
                <w:szCs w:val="24"/>
              </w:rPr>
              <w:t>20</w:t>
            </w:r>
            <w:r w:rsidR="007E6F23" w:rsidRPr="00737DBE">
              <w:rPr>
                <w:rFonts w:ascii="Times New Roman" w:eastAsia="Times New Roman" w:hAnsi="Times New Roman" w:cs="Times New Roman"/>
                <w:color w:val="000000"/>
                <w:sz w:val="24"/>
                <w:szCs w:val="24"/>
              </w:rPr>
              <w:t>0</w:t>
            </w:r>
            <w:r w:rsidR="00CB4119" w:rsidRPr="00737DBE">
              <w:rPr>
                <w:rFonts w:ascii="Times New Roman" w:eastAsia="Times New Roman" w:hAnsi="Times New Roman" w:cs="Times New Roman"/>
                <w:color w:val="000000"/>
                <w:sz w:val="24"/>
                <w:szCs w:val="24"/>
              </w:rPr>
              <w:t>,000</w:t>
            </w:r>
            <w:r w:rsidRPr="00737DBE">
              <w:rPr>
                <w:rFonts w:ascii="Times New Roman" w:eastAsia="Times New Roman" w:hAnsi="Times New Roman" w:cs="Times New Roman"/>
                <w:color w:val="000000"/>
                <w:sz w:val="24"/>
                <w:szCs w:val="24"/>
              </w:rPr>
              <w:t xml:space="preserve">)   </w:t>
            </w:r>
          </w:p>
        </w:tc>
        <w:tc>
          <w:tcPr>
            <w:tcW w:w="1336" w:type="dxa"/>
            <w:tcBorders>
              <w:top w:val="nil"/>
              <w:left w:val="nil"/>
              <w:bottom w:val="single" w:sz="4" w:space="0" w:color="auto"/>
              <w:right w:val="nil"/>
            </w:tcBorders>
            <w:shd w:val="clear" w:color="auto" w:fill="auto"/>
            <w:noWrap/>
            <w:vAlign w:val="bottom"/>
            <w:hideMark/>
          </w:tcPr>
          <w:p w14:paraId="5BF59BE4" w14:textId="61172A08" w:rsidR="00A868A9" w:rsidRPr="00737DBE" w:rsidRDefault="00A868A9" w:rsidP="00A94102">
            <w:pPr>
              <w:spacing w:after="0" w:line="240" w:lineRule="auto"/>
              <w:jc w:val="right"/>
              <w:rPr>
                <w:rFonts w:ascii="Times New Roman" w:eastAsia="Times New Roman" w:hAnsi="Times New Roman" w:cs="Times New Roman"/>
                <w:b/>
                <w:color w:val="000000"/>
                <w:sz w:val="24"/>
                <w:szCs w:val="24"/>
              </w:rPr>
            </w:pPr>
            <w:r w:rsidRPr="00737DBE">
              <w:rPr>
                <w:rFonts w:ascii="Times New Roman" w:eastAsia="Times New Roman" w:hAnsi="Times New Roman" w:cs="Times New Roman"/>
                <w:color w:val="000000"/>
                <w:sz w:val="24"/>
                <w:szCs w:val="24"/>
              </w:rPr>
              <w:t xml:space="preserve">   (</w:t>
            </w:r>
            <w:r w:rsidR="007E6F23" w:rsidRPr="00737DBE">
              <w:rPr>
                <w:rFonts w:ascii="Times New Roman" w:eastAsia="Times New Roman" w:hAnsi="Times New Roman" w:cs="Times New Roman"/>
                <w:color w:val="000000"/>
                <w:sz w:val="24"/>
                <w:szCs w:val="24"/>
              </w:rPr>
              <w:t>1</w:t>
            </w:r>
            <w:r w:rsidRPr="00737DBE">
              <w:rPr>
                <w:rFonts w:ascii="Times New Roman" w:eastAsia="Times New Roman" w:hAnsi="Times New Roman" w:cs="Times New Roman"/>
                <w:color w:val="000000"/>
                <w:sz w:val="24"/>
                <w:szCs w:val="24"/>
              </w:rPr>
              <w:t>,</w:t>
            </w:r>
            <w:r w:rsidR="00970B9A" w:rsidRPr="00737DBE">
              <w:rPr>
                <w:rFonts w:ascii="Times New Roman" w:eastAsia="Times New Roman" w:hAnsi="Times New Roman" w:cs="Times New Roman"/>
                <w:color w:val="000000"/>
                <w:sz w:val="24"/>
                <w:szCs w:val="24"/>
              </w:rPr>
              <w:t>20</w:t>
            </w:r>
            <w:r w:rsidR="00D724E7" w:rsidRPr="00737DBE">
              <w:rPr>
                <w:rFonts w:ascii="Times New Roman" w:eastAsia="Times New Roman" w:hAnsi="Times New Roman" w:cs="Times New Roman"/>
                <w:color w:val="000000"/>
                <w:sz w:val="24"/>
                <w:szCs w:val="24"/>
              </w:rPr>
              <w:t>0</w:t>
            </w:r>
            <w:r w:rsidRPr="00737DBE">
              <w:rPr>
                <w:rFonts w:ascii="Times New Roman" w:eastAsia="Times New Roman" w:hAnsi="Times New Roman" w:cs="Times New Roman"/>
                <w:color w:val="000000"/>
                <w:sz w:val="24"/>
                <w:szCs w:val="24"/>
              </w:rPr>
              <w:t>,000)</w:t>
            </w:r>
          </w:p>
        </w:tc>
        <w:tc>
          <w:tcPr>
            <w:tcW w:w="1336" w:type="dxa"/>
            <w:tcBorders>
              <w:top w:val="nil"/>
              <w:left w:val="nil"/>
              <w:bottom w:val="single" w:sz="4" w:space="0" w:color="auto"/>
              <w:right w:val="nil"/>
            </w:tcBorders>
            <w:shd w:val="clear" w:color="auto" w:fill="auto"/>
            <w:noWrap/>
            <w:vAlign w:val="bottom"/>
            <w:hideMark/>
          </w:tcPr>
          <w:p w14:paraId="786A6C77" w14:textId="36186D39" w:rsidR="00A868A9" w:rsidRPr="00737DBE" w:rsidRDefault="00A868A9" w:rsidP="00A94102">
            <w:pPr>
              <w:spacing w:after="0" w:line="240" w:lineRule="auto"/>
              <w:jc w:val="right"/>
              <w:rPr>
                <w:rFonts w:ascii="Times New Roman" w:eastAsia="Times New Roman" w:hAnsi="Times New Roman" w:cs="Times New Roman"/>
                <w:b/>
                <w:color w:val="000000"/>
                <w:sz w:val="24"/>
                <w:szCs w:val="24"/>
              </w:rPr>
            </w:pPr>
            <w:r w:rsidRPr="00737DBE">
              <w:rPr>
                <w:rFonts w:ascii="Times New Roman" w:eastAsia="Times New Roman" w:hAnsi="Times New Roman" w:cs="Times New Roman"/>
                <w:color w:val="000000"/>
                <w:sz w:val="24"/>
                <w:szCs w:val="24"/>
              </w:rPr>
              <w:t xml:space="preserve">   (</w:t>
            </w:r>
            <w:r w:rsidR="007E6F23" w:rsidRPr="00737DBE">
              <w:rPr>
                <w:rFonts w:ascii="Times New Roman" w:eastAsia="Times New Roman" w:hAnsi="Times New Roman" w:cs="Times New Roman"/>
                <w:color w:val="000000"/>
                <w:sz w:val="24"/>
                <w:szCs w:val="24"/>
              </w:rPr>
              <w:t>1</w:t>
            </w:r>
            <w:r w:rsidRPr="00737DBE">
              <w:rPr>
                <w:rFonts w:ascii="Times New Roman" w:eastAsia="Times New Roman" w:hAnsi="Times New Roman" w:cs="Times New Roman"/>
                <w:color w:val="000000"/>
                <w:sz w:val="24"/>
                <w:szCs w:val="24"/>
              </w:rPr>
              <w:t>,</w:t>
            </w:r>
            <w:r w:rsidR="00970B9A" w:rsidRPr="00737DBE">
              <w:rPr>
                <w:rFonts w:ascii="Times New Roman" w:eastAsia="Times New Roman" w:hAnsi="Times New Roman" w:cs="Times New Roman"/>
                <w:color w:val="000000"/>
                <w:sz w:val="24"/>
                <w:szCs w:val="24"/>
              </w:rPr>
              <w:t>20</w:t>
            </w:r>
            <w:r w:rsidR="00D724E7" w:rsidRPr="00737DBE">
              <w:rPr>
                <w:rFonts w:ascii="Times New Roman" w:eastAsia="Times New Roman" w:hAnsi="Times New Roman" w:cs="Times New Roman"/>
                <w:color w:val="000000"/>
                <w:sz w:val="24"/>
                <w:szCs w:val="24"/>
              </w:rPr>
              <w:t>0</w:t>
            </w:r>
            <w:r w:rsidRPr="00737DBE">
              <w:rPr>
                <w:rFonts w:ascii="Times New Roman" w:eastAsia="Times New Roman" w:hAnsi="Times New Roman" w:cs="Times New Roman"/>
                <w:color w:val="000000"/>
                <w:sz w:val="24"/>
                <w:szCs w:val="24"/>
              </w:rPr>
              <w:t>,000)</w:t>
            </w:r>
          </w:p>
        </w:tc>
      </w:tr>
      <w:tr w:rsidR="00A868A9" w:rsidRPr="00970B9A" w14:paraId="387F4E4F" w14:textId="77777777" w:rsidTr="005D21DC">
        <w:trPr>
          <w:trHeight w:val="300"/>
        </w:trPr>
        <w:tc>
          <w:tcPr>
            <w:tcW w:w="3510" w:type="dxa"/>
            <w:tcBorders>
              <w:top w:val="nil"/>
              <w:left w:val="nil"/>
              <w:bottom w:val="nil"/>
              <w:right w:val="nil"/>
            </w:tcBorders>
            <w:shd w:val="clear" w:color="auto" w:fill="auto"/>
            <w:noWrap/>
            <w:vAlign w:val="bottom"/>
            <w:hideMark/>
          </w:tcPr>
          <w:p w14:paraId="39B56705" w14:textId="77777777" w:rsidR="00A868A9" w:rsidRPr="00970B9A" w:rsidRDefault="00A868A9" w:rsidP="0072266A">
            <w:pPr>
              <w:spacing w:after="0" w:line="240" w:lineRule="auto"/>
              <w:rPr>
                <w:rFonts w:ascii="Times New Roman" w:eastAsia="Times New Roman" w:hAnsi="Times New Roman" w:cs="Times New Roman"/>
                <w:color w:val="000000"/>
                <w:sz w:val="24"/>
                <w:szCs w:val="24"/>
              </w:rPr>
            </w:pPr>
            <w:r w:rsidRPr="00970B9A">
              <w:rPr>
                <w:rFonts w:ascii="Times New Roman" w:eastAsia="Times New Roman" w:hAnsi="Times New Roman" w:cs="Times New Roman"/>
                <w:b/>
                <w:bCs/>
                <w:color w:val="000000"/>
                <w:sz w:val="24"/>
                <w:szCs w:val="24"/>
              </w:rPr>
              <w:t>Net Cash Flow</w:t>
            </w:r>
          </w:p>
        </w:tc>
        <w:tc>
          <w:tcPr>
            <w:tcW w:w="1336" w:type="dxa"/>
            <w:tcBorders>
              <w:top w:val="nil"/>
              <w:left w:val="nil"/>
              <w:bottom w:val="nil"/>
              <w:right w:val="nil"/>
            </w:tcBorders>
            <w:shd w:val="clear" w:color="auto" w:fill="auto"/>
            <w:noWrap/>
            <w:vAlign w:val="bottom"/>
            <w:hideMark/>
          </w:tcPr>
          <w:p w14:paraId="7F3E08EC" w14:textId="6203FAA9" w:rsidR="00A868A9" w:rsidRPr="00737DBE" w:rsidRDefault="00A868A9" w:rsidP="008B7144">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b/>
                <w:bCs/>
                <w:color w:val="000000"/>
                <w:sz w:val="24"/>
                <w:szCs w:val="24"/>
              </w:rPr>
              <w:t xml:space="preserve">     </w:t>
            </w:r>
            <w:r w:rsidR="00970B9A" w:rsidRPr="00737DBE">
              <w:rPr>
                <w:rFonts w:ascii="Times New Roman" w:eastAsia="Times New Roman" w:hAnsi="Times New Roman" w:cs="Times New Roman"/>
                <w:b/>
                <w:bCs/>
                <w:color w:val="000000"/>
                <w:sz w:val="24"/>
                <w:szCs w:val="24"/>
              </w:rPr>
              <w:t>1,</w:t>
            </w:r>
            <w:r w:rsidR="004928DA">
              <w:rPr>
                <w:rFonts w:ascii="Times New Roman" w:eastAsia="Times New Roman" w:hAnsi="Times New Roman" w:cs="Times New Roman"/>
                <w:b/>
                <w:bCs/>
                <w:color w:val="000000"/>
                <w:sz w:val="24"/>
                <w:szCs w:val="24"/>
              </w:rPr>
              <w:t>963</w:t>
            </w:r>
            <w:r w:rsidR="00970B9A" w:rsidRPr="00737DBE">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695</w:t>
            </w:r>
            <w:r w:rsidRPr="00737DBE">
              <w:rPr>
                <w:rFonts w:ascii="Times New Roman" w:eastAsia="Times New Roman" w:hAnsi="Times New Roman" w:cs="Times New Roman"/>
                <w:b/>
                <w:bCs/>
                <w:color w:val="000000"/>
                <w:sz w:val="24"/>
                <w:szCs w:val="24"/>
              </w:rPr>
              <w:t xml:space="preserve"> </w:t>
            </w:r>
          </w:p>
        </w:tc>
        <w:tc>
          <w:tcPr>
            <w:tcW w:w="1336" w:type="dxa"/>
            <w:tcBorders>
              <w:top w:val="nil"/>
              <w:left w:val="nil"/>
              <w:bottom w:val="nil"/>
              <w:right w:val="nil"/>
            </w:tcBorders>
            <w:shd w:val="clear" w:color="auto" w:fill="auto"/>
            <w:noWrap/>
            <w:vAlign w:val="bottom"/>
            <w:hideMark/>
          </w:tcPr>
          <w:p w14:paraId="09E94B56" w14:textId="7E40C531" w:rsidR="00A868A9" w:rsidRPr="00737DBE" w:rsidRDefault="00A868A9" w:rsidP="008B7144">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b/>
                <w:bCs/>
                <w:color w:val="000000"/>
                <w:sz w:val="24"/>
                <w:szCs w:val="24"/>
              </w:rPr>
              <w:t xml:space="preserve">     </w:t>
            </w:r>
            <w:r w:rsidR="00B033E9" w:rsidRPr="00737DBE">
              <w:rPr>
                <w:rFonts w:ascii="Times New Roman" w:eastAsia="Times New Roman" w:hAnsi="Times New Roman" w:cs="Times New Roman"/>
                <w:b/>
                <w:bCs/>
                <w:color w:val="000000"/>
                <w:sz w:val="24"/>
                <w:szCs w:val="24"/>
              </w:rPr>
              <w:t>1</w:t>
            </w:r>
            <w:r w:rsidR="00244702" w:rsidRPr="00737DBE">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572</w:t>
            </w:r>
            <w:r w:rsidR="00B033E9" w:rsidRPr="00737DBE">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084</w:t>
            </w:r>
            <w:r w:rsidRPr="00737DBE">
              <w:rPr>
                <w:rFonts w:ascii="Times New Roman" w:eastAsia="Times New Roman" w:hAnsi="Times New Roman" w:cs="Times New Roman"/>
                <w:b/>
                <w:bCs/>
                <w:color w:val="000000"/>
                <w:sz w:val="24"/>
                <w:szCs w:val="24"/>
              </w:rPr>
              <w:t xml:space="preserve"> </w:t>
            </w:r>
          </w:p>
        </w:tc>
        <w:tc>
          <w:tcPr>
            <w:tcW w:w="1336" w:type="dxa"/>
            <w:tcBorders>
              <w:top w:val="nil"/>
              <w:left w:val="nil"/>
              <w:bottom w:val="nil"/>
              <w:right w:val="nil"/>
            </w:tcBorders>
            <w:shd w:val="clear" w:color="auto" w:fill="auto"/>
            <w:noWrap/>
            <w:vAlign w:val="bottom"/>
            <w:hideMark/>
          </w:tcPr>
          <w:p w14:paraId="55FBD09F" w14:textId="1DB2B994" w:rsidR="00A868A9" w:rsidRPr="00737DBE" w:rsidRDefault="00A868A9" w:rsidP="008B7144">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b/>
                <w:bCs/>
                <w:color w:val="000000"/>
                <w:sz w:val="24"/>
                <w:szCs w:val="24"/>
              </w:rPr>
              <w:t xml:space="preserve">     </w:t>
            </w:r>
            <w:r w:rsidR="006802FF" w:rsidRPr="00737DBE">
              <w:rPr>
                <w:rFonts w:ascii="Times New Roman" w:eastAsia="Times New Roman" w:hAnsi="Times New Roman" w:cs="Times New Roman"/>
                <w:b/>
                <w:bCs/>
                <w:color w:val="000000"/>
                <w:sz w:val="24"/>
                <w:szCs w:val="24"/>
              </w:rPr>
              <w:t>1</w:t>
            </w:r>
            <w:r w:rsidR="00244702" w:rsidRPr="00737DBE">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698</w:t>
            </w:r>
            <w:r w:rsidR="00B033E9" w:rsidRPr="00737DBE">
              <w:rPr>
                <w:rFonts w:ascii="Times New Roman" w:eastAsia="Times New Roman" w:hAnsi="Times New Roman" w:cs="Times New Roman"/>
                <w:b/>
                <w:bCs/>
                <w:color w:val="000000"/>
                <w:sz w:val="24"/>
                <w:szCs w:val="24"/>
              </w:rPr>
              <w:t>,</w:t>
            </w:r>
            <w:r w:rsidR="004928DA">
              <w:rPr>
                <w:rFonts w:ascii="Times New Roman" w:eastAsia="Times New Roman" w:hAnsi="Times New Roman" w:cs="Times New Roman"/>
                <w:b/>
                <w:bCs/>
                <w:color w:val="000000"/>
                <w:sz w:val="24"/>
                <w:szCs w:val="24"/>
              </w:rPr>
              <w:t>486</w:t>
            </w:r>
            <w:r w:rsidRPr="00737DBE">
              <w:rPr>
                <w:rFonts w:ascii="Times New Roman" w:eastAsia="Times New Roman" w:hAnsi="Times New Roman" w:cs="Times New Roman"/>
                <w:b/>
                <w:bCs/>
                <w:color w:val="000000"/>
                <w:sz w:val="24"/>
                <w:szCs w:val="24"/>
              </w:rPr>
              <w:t xml:space="preserve"> </w:t>
            </w:r>
          </w:p>
        </w:tc>
      </w:tr>
      <w:tr w:rsidR="00A868A9" w:rsidRPr="00970B9A" w14:paraId="26255CB7" w14:textId="77777777" w:rsidTr="00EB771D">
        <w:trPr>
          <w:trHeight w:val="300"/>
        </w:trPr>
        <w:tc>
          <w:tcPr>
            <w:tcW w:w="3510" w:type="dxa"/>
            <w:tcBorders>
              <w:top w:val="nil"/>
              <w:left w:val="nil"/>
              <w:bottom w:val="nil"/>
              <w:right w:val="nil"/>
            </w:tcBorders>
            <w:shd w:val="clear" w:color="auto" w:fill="auto"/>
            <w:noWrap/>
            <w:vAlign w:val="bottom"/>
            <w:hideMark/>
          </w:tcPr>
          <w:p w14:paraId="06EC11C8" w14:textId="77777777" w:rsidR="00A868A9" w:rsidRPr="00970B9A" w:rsidRDefault="00A868A9" w:rsidP="0072266A">
            <w:pPr>
              <w:spacing w:after="0" w:line="240" w:lineRule="auto"/>
              <w:rPr>
                <w:rFonts w:ascii="Times New Roman" w:eastAsia="Times New Roman" w:hAnsi="Times New Roman" w:cs="Times New Roman"/>
                <w:color w:val="000000"/>
                <w:sz w:val="24"/>
                <w:szCs w:val="24"/>
              </w:rPr>
            </w:pPr>
          </w:p>
        </w:tc>
        <w:tc>
          <w:tcPr>
            <w:tcW w:w="1336" w:type="dxa"/>
            <w:tcBorders>
              <w:top w:val="nil"/>
              <w:left w:val="nil"/>
              <w:bottom w:val="nil"/>
              <w:right w:val="nil"/>
            </w:tcBorders>
            <w:shd w:val="clear" w:color="auto" w:fill="auto"/>
            <w:noWrap/>
            <w:vAlign w:val="bottom"/>
            <w:hideMark/>
          </w:tcPr>
          <w:p w14:paraId="2972DA68" w14:textId="77777777" w:rsidR="00A868A9" w:rsidRPr="00293F92" w:rsidRDefault="00A868A9" w:rsidP="008B7144">
            <w:pPr>
              <w:spacing w:after="0" w:line="240" w:lineRule="auto"/>
              <w:jc w:val="right"/>
              <w:rPr>
                <w:rFonts w:ascii="Times New Roman" w:eastAsia="Times New Roman" w:hAnsi="Times New Roman" w:cs="Times New Roman"/>
                <w:color w:val="000000"/>
                <w:sz w:val="24"/>
                <w:szCs w:val="24"/>
                <w:highlight w:val="yellow"/>
              </w:rPr>
            </w:pPr>
          </w:p>
        </w:tc>
        <w:tc>
          <w:tcPr>
            <w:tcW w:w="1336" w:type="dxa"/>
            <w:tcBorders>
              <w:top w:val="nil"/>
              <w:left w:val="nil"/>
              <w:bottom w:val="nil"/>
              <w:right w:val="nil"/>
            </w:tcBorders>
            <w:shd w:val="clear" w:color="auto" w:fill="auto"/>
            <w:noWrap/>
            <w:vAlign w:val="bottom"/>
            <w:hideMark/>
          </w:tcPr>
          <w:p w14:paraId="36319CD3" w14:textId="77777777" w:rsidR="00A868A9" w:rsidRPr="00293F92" w:rsidRDefault="00A868A9" w:rsidP="00C059D2">
            <w:pPr>
              <w:spacing w:after="0" w:line="240" w:lineRule="auto"/>
              <w:jc w:val="right"/>
              <w:rPr>
                <w:rFonts w:ascii="Times New Roman" w:eastAsia="Times New Roman" w:hAnsi="Times New Roman" w:cs="Times New Roman"/>
                <w:color w:val="000000"/>
                <w:sz w:val="24"/>
                <w:szCs w:val="24"/>
                <w:highlight w:val="yellow"/>
              </w:rPr>
            </w:pPr>
          </w:p>
        </w:tc>
        <w:tc>
          <w:tcPr>
            <w:tcW w:w="1336" w:type="dxa"/>
            <w:tcBorders>
              <w:top w:val="nil"/>
              <w:left w:val="nil"/>
              <w:bottom w:val="nil"/>
              <w:right w:val="nil"/>
            </w:tcBorders>
            <w:shd w:val="clear" w:color="auto" w:fill="auto"/>
            <w:noWrap/>
            <w:vAlign w:val="bottom"/>
            <w:hideMark/>
          </w:tcPr>
          <w:p w14:paraId="285A2AB6" w14:textId="77777777" w:rsidR="00A868A9" w:rsidRPr="00293F92" w:rsidRDefault="00A868A9" w:rsidP="00C059D2">
            <w:pPr>
              <w:spacing w:after="0" w:line="240" w:lineRule="auto"/>
              <w:jc w:val="right"/>
              <w:rPr>
                <w:rFonts w:ascii="Times New Roman" w:eastAsia="Times New Roman" w:hAnsi="Times New Roman" w:cs="Times New Roman"/>
                <w:color w:val="000000"/>
                <w:sz w:val="24"/>
                <w:szCs w:val="24"/>
                <w:highlight w:val="yellow"/>
              </w:rPr>
            </w:pPr>
          </w:p>
        </w:tc>
      </w:tr>
      <w:tr w:rsidR="00A868A9" w:rsidRPr="00186ACF" w14:paraId="22E9BDAB" w14:textId="77777777" w:rsidTr="002E65BA">
        <w:trPr>
          <w:trHeight w:val="300"/>
        </w:trPr>
        <w:tc>
          <w:tcPr>
            <w:tcW w:w="3510" w:type="dxa"/>
            <w:tcBorders>
              <w:top w:val="nil"/>
              <w:left w:val="nil"/>
              <w:bottom w:val="nil"/>
              <w:right w:val="nil"/>
            </w:tcBorders>
            <w:shd w:val="clear" w:color="auto" w:fill="auto"/>
            <w:noWrap/>
            <w:vAlign w:val="bottom"/>
            <w:hideMark/>
          </w:tcPr>
          <w:p w14:paraId="02628EBC" w14:textId="77777777" w:rsidR="00A868A9" w:rsidRPr="00970B9A" w:rsidRDefault="00A868A9" w:rsidP="0072266A">
            <w:pPr>
              <w:spacing w:after="0" w:line="240" w:lineRule="auto"/>
              <w:rPr>
                <w:rFonts w:ascii="Times New Roman" w:eastAsia="Times New Roman" w:hAnsi="Times New Roman" w:cs="Times New Roman"/>
                <w:b/>
                <w:color w:val="000000"/>
                <w:sz w:val="24"/>
                <w:szCs w:val="24"/>
              </w:rPr>
            </w:pPr>
            <w:r w:rsidRPr="00970B9A">
              <w:rPr>
                <w:rFonts w:ascii="Times New Roman" w:eastAsia="Times New Roman" w:hAnsi="Times New Roman" w:cs="Times New Roman"/>
                <w:b/>
                <w:color w:val="000000"/>
                <w:sz w:val="24"/>
                <w:szCs w:val="24"/>
              </w:rPr>
              <w:t>Fuel Tax to the Tribe</w:t>
            </w:r>
          </w:p>
        </w:tc>
        <w:tc>
          <w:tcPr>
            <w:tcW w:w="1336" w:type="dxa"/>
            <w:tcBorders>
              <w:top w:val="nil"/>
              <w:left w:val="nil"/>
              <w:bottom w:val="nil"/>
              <w:right w:val="nil"/>
            </w:tcBorders>
            <w:shd w:val="clear" w:color="auto" w:fill="auto"/>
            <w:noWrap/>
            <w:vAlign w:val="bottom"/>
            <w:hideMark/>
          </w:tcPr>
          <w:p w14:paraId="1A0A62E5" w14:textId="2EBF38AE" w:rsidR="00A868A9" w:rsidRPr="00970B9A" w:rsidRDefault="00A868A9" w:rsidP="00A868A9">
            <w:pPr>
              <w:spacing w:after="0" w:line="240" w:lineRule="auto"/>
              <w:rPr>
                <w:rFonts w:ascii="Times New Roman" w:eastAsia="Times New Roman" w:hAnsi="Times New Roman" w:cs="Times New Roman"/>
                <w:b/>
                <w:color w:val="000000"/>
                <w:sz w:val="24"/>
                <w:szCs w:val="24"/>
              </w:rPr>
            </w:pPr>
            <w:r w:rsidRPr="00970B9A">
              <w:rPr>
                <w:rFonts w:ascii="Times New Roman" w:eastAsia="Times New Roman" w:hAnsi="Times New Roman" w:cs="Times New Roman"/>
                <w:b/>
                <w:color w:val="000000"/>
                <w:sz w:val="24"/>
                <w:szCs w:val="24"/>
              </w:rPr>
              <w:t xml:space="preserve">     1</w:t>
            </w:r>
            <w:r w:rsidR="00D724E7" w:rsidRPr="00970B9A">
              <w:rPr>
                <w:rFonts w:ascii="Times New Roman" w:eastAsia="Times New Roman" w:hAnsi="Times New Roman" w:cs="Times New Roman"/>
                <w:b/>
                <w:color w:val="000000"/>
                <w:sz w:val="24"/>
                <w:szCs w:val="24"/>
              </w:rPr>
              <w:t>4</w:t>
            </w:r>
            <w:r w:rsidR="00B033E9">
              <w:rPr>
                <w:rFonts w:ascii="Times New Roman" w:eastAsia="Times New Roman" w:hAnsi="Times New Roman" w:cs="Times New Roman"/>
                <w:b/>
                <w:color w:val="000000"/>
                <w:sz w:val="24"/>
                <w:szCs w:val="24"/>
              </w:rPr>
              <w:t>2</w:t>
            </w:r>
            <w:r w:rsidRPr="00970B9A">
              <w:rPr>
                <w:rFonts w:ascii="Times New Roman" w:eastAsia="Times New Roman" w:hAnsi="Times New Roman" w:cs="Times New Roman"/>
                <w:b/>
                <w:color w:val="000000"/>
                <w:sz w:val="24"/>
                <w:szCs w:val="24"/>
              </w:rPr>
              <w:t>,</w:t>
            </w:r>
            <w:r w:rsidR="00B033E9">
              <w:rPr>
                <w:rFonts w:ascii="Times New Roman" w:eastAsia="Times New Roman" w:hAnsi="Times New Roman" w:cs="Times New Roman"/>
                <w:b/>
                <w:color w:val="000000"/>
                <w:sz w:val="24"/>
                <w:szCs w:val="24"/>
              </w:rPr>
              <w:t>5</w:t>
            </w:r>
            <w:r w:rsidRPr="00970B9A">
              <w:rPr>
                <w:rFonts w:ascii="Times New Roman" w:eastAsia="Times New Roman" w:hAnsi="Times New Roman" w:cs="Times New Roman"/>
                <w:b/>
                <w:color w:val="000000"/>
                <w:sz w:val="24"/>
                <w:szCs w:val="24"/>
              </w:rPr>
              <w:t xml:space="preserve">00         </w:t>
            </w:r>
          </w:p>
        </w:tc>
        <w:tc>
          <w:tcPr>
            <w:tcW w:w="1336" w:type="dxa"/>
            <w:tcBorders>
              <w:top w:val="nil"/>
              <w:left w:val="nil"/>
              <w:bottom w:val="nil"/>
              <w:right w:val="nil"/>
            </w:tcBorders>
            <w:shd w:val="clear" w:color="auto" w:fill="auto"/>
            <w:noWrap/>
            <w:vAlign w:val="bottom"/>
            <w:hideMark/>
          </w:tcPr>
          <w:p w14:paraId="1B809F32" w14:textId="4BFA0B32" w:rsidR="00A868A9" w:rsidRPr="00970B9A" w:rsidRDefault="00CB4119" w:rsidP="0072266A">
            <w:pPr>
              <w:spacing w:after="0" w:line="240" w:lineRule="auto"/>
              <w:jc w:val="right"/>
              <w:rPr>
                <w:rFonts w:ascii="Times New Roman" w:eastAsia="Times New Roman" w:hAnsi="Times New Roman" w:cs="Times New Roman"/>
                <w:b/>
                <w:color w:val="000000"/>
                <w:sz w:val="24"/>
                <w:szCs w:val="24"/>
              </w:rPr>
            </w:pPr>
            <w:r w:rsidRPr="00970B9A">
              <w:rPr>
                <w:rFonts w:ascii="Times New Roman" w:eastAsia="Times New Roman" w:hAnsi="Times New Roman" w:cs="Times New Roman"/>
                <w:b/>
                <w:color w:val="000000"/>
                <w:sz w:val="24"/>
                <w:szCs w:val="24"/>
              </w:rPr>
              <w:t>1</w:t>
            </w:r>
            <w:r w:rsidR="007E6F23" w:rsidRPr="00970B9A">
              <w:rPr>
                <w:rFonts w:ascii="Times New Roman" w:eastAsia="Times New Roman" w:hAnsi="Times New Roman" w:cs="Times New Roman"/>
                <w:b/>
                <w:color w:val="000000"/>
                <w:sz w:val="24"/>
                <w:szCs w:val="24"/>
              </w:rPr>
              <w:t>4</w:t>
            </w:r>
            <w:r w:rsidR="00B033E9">
              <w:rPr>
                <w:rFonts w:ascii="Times New Roman" w:eastAsia="Times New Roman" w:hAnsi="Times New Roman" w:cs="Times New Roman"/>
                <w:b/>
                <w:color w:val="000000"/>
                <w:sz w:val="24"/>
                <w:szCs w:val="24"/>
              </w:rPr>
              <w:t>5</w:t>
            </w:r>
            <w:r w:rsidR="00A868A9" w:rsidRPr="00970B9A">
              <w:rPr>
                <w:rFonts w:ascii="Times New Roman" w:eastAsia="Times New Roman" w:hAnsi="Times New Roman" w:cs="Times New Roman"/>
                <w:b/>
                <w:color w:val="000000"/>
                <w:sz w:val="24"/>
                <w:szCs w:val="24"/>
              </w:rPr>
              <w:t>,</w:t>
            </w:r>
            <w:r w:rsidR="00B033E9">
              <w:rPr>
                <w:rFonts w:ascii="Times New Roman" w:eastAsia="Times New Roman" w:hAnsi="Times New Roman" w:cs="Times New Roman"/>
                <w:b/>
                <w:color w:val="000000"/>
                <w:sz w:val="24"/>
                <w:szCs w:val="24"/>
              </w:rPr>
              <w:t>0</w:t>
            </w:r>
            <w:r w:rsidR="00A868A9" w:rsidRPr="00970B9A">
              <w:rPr>
                <w:rFonts w:ascii="Times New Roman" w:eastAsia="Times New Roman" w:hAnsi="Times New Roman" w:cs="Times New Roman"/>
                <w:b/>
                <w:color w:val="000000"/>
                <w:sz w:val="24"/>
                <w:szCs w:val="24"/>
              </w:rPr>
              <w:t>00</w:t>
            </w:r>
          </w:p>
        </w:tc>
        <w:tc>
          <w:tcPr>
            <w:tcW w:w="1336" w:type="dxa"/>
            <w:tcBorders>
              <w:top w:val="nil"/>
              <w:left w:val="nil"/>
              <w:bottom w:val="nil"/>
              <w:right w:val="nil"/>
            </w:tcBorders>
            <w:shd w:val="clear" w:color="auto" w:fill="auto"/>
            <w:noWrap/>
            <w:vAlign w:val="bottom"/>
            <w:hideMark/>
          </w:tcPr>
          <w:p w14:paraId="30680DE4" w14:textId="1C18A33B" w:rsidR="00A868A9" w:rsidRPr="00970B9A" w:rsidRDefault="00CB4119" w:rsidP="0072266A">
            <w:pPr>
              <w:spacing w:after="0" w:line="240" w:lineRule="auto"/>
              <w:jc w:val="right"/>
              <w:rPr>
                <w:rFonts w:ascii="Times New Roman" w:eastAsia="Times New Roman" w:hAnsi="Times New Roman" w:cs="Times New Roman"/>
                <w:b/>
                <w:color w:val="000000"/>
                <w:sz w:val="24"/>
                <w:szCs w:val="24"/>
              </w:rPr>
            </w:pPr>
            <w:r w:rsidRPr="00970B9A">
              <w:rPr>
                <w:rFonts w:ascii="Times New Roman" w:eastAsia="Times New Roman" w:hAnsi="Times New Roman" w:cs="Times New Roman"/>
                <w:b/>
                <w:color w:val="000000"/>
                <w:sz w:val="24"/>
                <w:szCs w:val="24"/>
              </w:rPr>
              <w:t>1</w:t>
            </w:r>
            <w:r w:rsidR="007E6F23" w:rsidRPr="00970B9A">
              <w:rPr>
                <w:rFonts w:ascii="Times New Roman" w:eastAsia="Times New Roman" w:hAnsi="Times New Roman" w:cs="Times New Roman"/>
                <w:b/>
                <w:color w:val="000000"/>
                <w:sz w:val="24"/>
                <w:szCs w:val="24"/>
              </w:rPr>
              <w:t>4</w:t>
            </w:r>
            <w:r w:rsidR="00B033E9">
              <w:rPr>
                <w:rFonts w:ascii="Times New Roman" w:eastAsia="Times New Roman" w:hAnsi="Times New Roman" w:cs="Times New Roman"/>
                <w:b/>
                <w:color w:val="000000"/>
                <w:sz w:val="24"/>
                <w:szCs w:val="24"/>
              </w:rPr>
              <w:t>7</w:t>
            </w:r>
            <w:r w:rsidR="00A868A9" w:rsidRPr="00970B9A">
              <w:rPr>
                <w:rFonts w:ascii="Times New Roman" w:eastAsia="Times New Roman" w:hAnsi="Times New Roman" w:cs="Times New Roman"/>
                <w:b/>
                <w:color w:val="000000"/>
                <w:sz w:val="24"/>
                <w:szCs w:val="24"/>
              </w:rPr>
              <w:t>,</w:t>
            </w:r>
            <w:r w:rsidR="00B033E9">
              <w:rPr>
                <w:rFonts w:ascii="Times New Roman" w:eastAsia="Times New Roman" w:hAnsi="Times New Roman" w:cs="Times New Roman"/>
                <w:b/>
                <w:color w:val="000000"/>
                <w:sz w:val="24"/>
                <w:szCs w:val="24"/>
              </w:rPr>
              <w:t>5</w:t>
            </w:r>
            <w:r w:rsidR="00A868A9" w:rsidRPr="00970B9A">
              <w:rPr>
                <w:rFonts w:ascii="Times New Roman" w:eastAsia="Times New Roman" w:hAnsi="Times New Roman" w:cs="Times New Roman"/>
                <w:b/>
                <w:color w:val="000000"/>
                <w:sz w:val="24"/>
                <w:szCs w:val="24"/>
              </w:rPr>
              <w:t>00</w:t>
            </w:r>
          </w:p>
        </w:tc>
      </w:tr>
      <w:tr w:rsidR="00A868A9" w:rsidRPr="00186ACF" w14:paraId="1A8A8A35" w14:textId="77777777" w:rsidTr="00A868A9">
        <w:trPr>
          <w:trHeight w:val="315"/>
        </w:trPr>
        <w:tc>
          <w:tcPr>
            <w:tcW w:w="3510" w:type="dxa"/>
            <w:tcBorders>
              <w:top w:val="nil"/>
              <w:left w:val="nil"/>
              <w:bottom w:val="nil"/>
              <w:right w:val="nil"/>
            </w:tcBorders>
            <w:shd w:val="clear" w:color="auto" w:fill="auto"/>
            <w:noWrap/>
            <w:vAlign w:val="bottom"/>
            <w:hideMark/>
          </w:tcPr>
          <w:p w14:paraId="7C1E1ACA" w14:textId="77777777" w:rsidR="00A868A9" w:rsidRPr="00186ACF" w:rsidRDefault="00A868A9" w:rsidP="0072266A">
            <w:pPr>
              <w:spacing w:after="0" w:line="240" w:lineRule="auto"/>
              <w:rPr>
                <w:rFonts w:ascii="Times New Roman" w:eastAsia="Times New Roman" w:hAnsi="Times New Roman" w:cs="Times New Roman"/>
                <w:color w:val="000000"/>
                <w:sz w:val="24"/>
                <w:szCs w:val="24"/>
                <w:highlight w:val="yellow"/>
              </w:rPr>
            </w:pPr>
          </w:p>
        </w:tc>
        <w:tc>
          <w:tcPr>
            <w:tcW w:w="1336" w:type="dxa"/>
            <w:tcBorders>
              <w:top w:val="nil"/>
              <w:left w:val="nil"/>
              <w:bottom w:val="nil"/>
              <w:right w:val="nil"/>
            </w:tcBorders>
            <w:shd w:val="clear" w:color="auto" w:fill="auto"/>
            <w:noWrap/>
            <w:vAlign w:val="bottom"/>
            <w:hideMark/>
          </w:tcPr>
          <w:p w14:paraId="29F6B723" w14:textId="77777777" w:rsidR="00A868A9" w:rsidRPr="00186ACF" w:rsidRDefault="00A868A9" w:rsidP="00A94102">
            <w:pPr>
              <w:spacing w:after="0" w:line="240" w:lineRule="auto"/>
              <w:jc w:val="right"/>
              <w:rPr>
                <w:rFonts w:ascii="Times New Roman" w:eastAsia="Times New Roman" w:hAnsi="Times New Roman" w:cs="Times New Roman"/>
                <w:sz w:val="24"/>
                <w:szCs w:val="24"/>
                <w:highlight w:val="yellow"/>
              </w:rPr>
            </w:pPr>
          </w:p>
        </w:tc>
        <w:tc>
          <w:tcPr>
            <w:tcW w:w="1336" w:type="dxa"/>
            <w:tcBorders>
              <w:top w:val="nil"/>
              <w:left w:val="nil"/>
              <w:bottom w:val="nil"/>
              <w:right w:val="nil"/>
            </w:tcBorders>
            <w:shd w:val="clear" w:color="auto" w:fill="auto"/>
            <w:noWrap/>
            <w:vAlign w:val="bottom"/>
            <w:hideMark/>
          </w:tcPr>
          <w:p w14:paraId="78DC8803" w14:textId="77777777" w:rsidR="00A868A9" w:rsidRPr="00186ACF" w:rsidRDefault="00A868A9" w:rsidP="004F5014">
            <w:pPr>
              <w:spacing w:after="0" w:line="240" w:lineRule="auto"/>
              <w:jc w:val="right"/>
              <w:rPr>
                <w:rFonts w:ascii="Times New Roman" w:eastAsia="Times New Roman" w:hAnsi="Times New Roman" w:cs="Times New Roman"/>
                <w:sz w:val="24"/>
                <w:szCs w:val="24"/>
                <w:highlight w:val="yellow"/>
              </w:rPr>
            </w:pPr>
          </w:p>
        </w:tc>
        <w:tc>
          <w:tcPr>
            <w:tcW w:w="1336" w:type="dxa"/>
            <w:tcBorders>
              <w:top w:val="nil"/>
              <w:left w:val="nil"/>
              <w:bottom w:val="nil"/>
              <w:right w:val="nil"/>
            </w:tcBorders>
            <w:shd w:val="clear" w:color="auto" w:fill="auto"/>
            <w:noWrap/>
            <w:vAlign w:val="bottom"/>
            <w:hideMark/>
          </w:tcPr>
          <w:p w14:paraId="3F5AD42D" w14:textId="77777777" w:rsidR="00A868A9" w:rsidRPr="00186ACF" w:rsidRDefault="00A868A9" w:rsidP="004F5014">
            <w:pPr>
              <w:spacing w:after="0" w:line="240" w:lineRule="auto"/>
              <w:jc w:val="right"/>
              <w:rPr>
                <w:rFonts w:ascii="Times New Roman" w:eastAsia="Times New Roman" w:hAnsi="Times New Roman" w:cs="Times New Roman"/>
                <w:sz w:val="24"/>
                <w:szCs w:val="24"/>
                <w:highlight w:val="yellow"/>
              </w:rPr>
            </w:pPr>
          </w:p>
        </w:tc>
      </w:tr>
      <w:tr w:rsidR="00A868A9" w:rsidRPr="00186ACF" w14:paraId="332313E6" w14:textId="77777777" w:rsidTr="009C70F5">
        <w:trPr>
          <w:trHeight w:val="300"/>
        </w:trPr>
        <w:tc>
          <w:tcPr>
            <w:tcW w:w="3510" w:type="dxa"/>
            <w:tcBorders>
              <w:top w:val="nil"/>
              <w:left w:val="nil"/>
              <w:bottom w:val="nil"/>
              <w:right w:val="nil"/>
            </w:tcBorders>
            <w:shd w:val="clear" w:color="auto" w:fill="auto"/>
            <w:noWrap/>
            <w:vAlign w:val="bottom"/>
          </w:tcPr>
          <w:p w14:paraId="4FE4CE26" w14:textId="77777777" w:rsidR="00A868A9" w:rsidRPr="00186ACF" w:rsidRDefault="00A868A9" w:rsidP="0072266A">
            <w:pPr>
              <w:spacing w:after="0" w:line="240" w:lineRule="auto"/>
              <w:rPr>
                <w:rFonts w:ascii="Times New Roman" w:eastAsia="Times New Roman" w:hAnsi="Times New Roman" w:cs="Times New Roman"/>
                <w:b/>
                <w:bCs/>
                <w:color w:val="000000"/>
                <w:sz w:val="24"/>
                <w:szCs w:val="24"/>
                <w:highlight w:val="yellow"/>
              </w:rPr>
            </w:pPr>
          </w:p>
        </w:tc>
        <w:tc>
          <w:tcPr>
            <w:tcW w:w="1336" w:type="dxa"/>
            <w:tcBorders>
              <w:top w:val="nil"/>
              <w:left w:val="nil"/>
              <w:bottom w:val="nil"/>
              <w:right w:val="nil"/>
            </w:tcBorders>
            <w:shd w:val="clear" w:color="auto" w:fill="auto"/>
            <w:noWrap/>
            <w:vAlign w:val="bottom"/>
          </w:tcPr>
          <w:p w14:paraId="17C558CE" w14:textId="77777777" w:rsidR="00A868A9" w:rsidRPr="00186ACF" w:rsidRDefault="00A868A9" w:rsidP="0072266A">
            <w:pPr>
              <w:spacing w:after="0" w:line="240" w:lineRule="auto"/>
              <w:jc w:val="right"/>
              <w:rPr>
                <w:rFonts w:ascii="Times New Roman" w:eastAsia="Times New Roman" w:hAnsi="Times New Roman" w:cs="Times New Roman"/>
                <w:b/>
                <w:bCs/>
                <w:color w:val="000000"/>
                <w:sz w:val="24"/>
                <w:szCs w:val="24"/>
                <w:highlight w:val="yellow"/>
              </w:rPr>
            </w:pPr>
          </w:p>
        </w:tc>
        <w:tc>
          <w:tcPr>
            <w:tcW w:w="1336" w:type="dxa"/>
            <w:tcBorders>
              <w:top w:val="nil"/>
              <w:left w:val="nil"/>
              <w:bottom w:val="nil"/>
              <w:right w:val="nil"/>
            </w:tcBorders>
            <w:shd w:val="clear" w:color="auto" w:fill="auto"/>
            <w:noWrap/>
            <w:vAlign w:val="bottom"/>
          </w:tcPr>
          <w:p w14:paraId="08EC97E1" w14:textId="77777777" w:rsidR="00A868A9" w:rsidRPr="00186ACF" w:rsidRDefault="00A868A9" w:rsidP="0072266A">
            <w:pPr>
              <w:spacing w:after="0" w:line="240" w:lineRule="auto"/>
              <w:jc w:val="right"/>
              <w:rPr>
                <w:rFonts w:ascii="Times New Roman" w:eastAsia="Times New Roman" w:hAnsi="Times New Roman" w:cs="Times New Roman"/>
                <w:b/>
                <w:bCs/>
                <w:color w:val="000000"/>
                <w:sz w:val="24"/>
                <w:szCs w:val="24"/>
                <w:highlight w:val="yellow"/>
              </w:rPr>
            </w:pPr>
          </w:p>
        </w:tc>
        <w:tc>
          <w:tcPr>
            <w:tcW w:w="1336" w:type="dxa"/>
            <w:tcBorders>
              <w:top w:val="nil"/>
              <w:left w:val="nil"/>
              <w:bottom w:val="nil"/>
              <w:right w:val="nil"/>
            </w:tcBorders>
            <w:shd w:val="clear" w:color="auto" w:fill="auto"/>
            <w:noWrap/>
            <w:vAlign w:val="bottom"/>
          </w:tcPr>
          <w:p w14:paraId="778B3953" w14:textId="77777777" w:rsidR="00A868A9" w:rsidRPr="00186ACF" w:rsidRDefault="00A868A9" w:rsidP="0072266A">
            <w:pPr>
              <w:spacing w:after="0" w:line="240" w:lineRule="auto"/>
              <w:jc w:val="right"/>
              <w:rPr>
                <w:rFonts w:ascii="Times New Roman" w:eastAsia="Times New Roman" w:hAnsi="Times New Roman" w:cs="Times New Roman"/>
                <w:b/>
                <w:bCs/>
                <w:color w:val="000000"/>
                <w:sz w:val="24"/>
                <w:szCs w:val="24"/>
                <w:highlight w:val="yellow"/>
              </w:rPr>
            </w:pPr>
          </w:p>
        </w:tc>
      </w:tr>
      <w:tr w:rsidR="006802FF" w:rsidRPr="00186ACF" w14:paraId="1F76787F" w14:textId="77777777" w:rsidTr="009C70F5">
        <w:trPr>
          <w:trHeight w:val="300"/>
        </w:trPr>
        <w:tc>
          <w:tcPr>
            <w:tcW w:w="3510" w:type="dxa"/>
            <w:tcBorders>
              <w:top w:val="nil"/>
              <w:left w:val="nil"/>
              <w:bottom w:val="nil"/>
              <w:right w:val="nil"/>
            </w:tcBorders>
            <w:shd w:val="clear" w:color="auto" w:fill="auto"/>
            <w:noWrap/>
            <w:vAlign w:val="bottom"/>
          </w:tcPr>
          <w:p w14:paraId="55262C23" w14:textId="77777777" w:rsidR="006802FF" w:rsidRPr="00186ACF" w:rsidRDefault="006802FF" w:rsidP="0072266A">
            <w:pPr>
              <w:spacing w:after="0" w:line="240" w:lineRule="auto"/>
              <w:rPr>
                <w:rFonts w:ascii="Times New Roman" w:eastAsia="Times New Roman" w:hAnsi="Times New Roman" w:cs="Times New Roman"/>
                <w:b/>
                <w:bCs/>
                <w:color w:val="000000"/>
                <w:sz w:val="24"/>
                <w:szCs w:val="24"/>
                <w:highlight w:val="yellow"/>
              </w:rPr>
            </w:pPr>
          </w:p>
        </w:tc>
        <w:tc>
          <w:tcPr>
            <w:tcW w:w="1336" w:type="dxa"/>
            <w:tcBorders>
              <w:top w:val="nil"/>
              <w:left w:val="nil"/>
              <w:bottom w:val="nil"/>
              <w:right w:val="nil"/>
            </w:tcBorders>
            <w:shd w:val="clear" w:color="auto" w:fill="auto"/>
            <w:noWrap/>
            <w:vAlign w:val="bottom"/>
          </w:tcPr>
          <w:p w14:paraId="34780AF7" w14:textId="77777777" w:rsidR="006802FF" w:rsidRPr="00186ACF" w:rsidRDefault="006802FF" w:rsidP="0072266A">
            <w:pPr>
              <w:spacing w:after="0" w:line="240" w:lineRule="auto"/>
              <w:jc w:val="right"/>
              <w:rPr>
                <w:rFonts w:ascii="Times New Roman" w:eastAsia="Times New Roman" w:hAnsi="Times New Roman" w:cs="Times New Roman"/>
                <w:b/>
                <w:bCs/>
                <w:color w:val="000000"/>
                <w:sz w:val="24"/>
                <w:szCs w:val="24"/>
                <w:highlight w:val="yellow"/>
              </w:rPr>
            </w:pPr>
          </w:p>
        </w:tc>
        <w:tc>
          <w:tcPr>
            <w:tcW w:w="1336" w:type="dxa"/>
            <w:tcBorders>
              <w:top w:val="nil"/>
              <w:left w:val="nil"/>
              <w:bottom w:val="nil"/>
              <w:right w:val="nil"/>
            </w:tcBorders>
            <w:shd w:val="clear" w:color="auto" w:fill="auto"/>
            <w:noWrap/>
            <w:vAlign w:val="bottom"/>
          </w:tcPr>
          <w:p w14:paraId="7C496DCF" w14:textId="77777777" w:rsidR="006802FF" w:rsidRPr="00186ACF" w:rsidRDefault="006802FF" w:rsidP="0072266A">
            <w:pPr>
              <w:spacing w:after="0" w:line="240" w:lineRule="auto"/>
              <w:jc w:val="right"/>
              <w:rPr>
                <w:rFonts w:ascii="Times New Roman" w:eastAsia="Times New Roman" w:hAnsi="Times New Roman" w:cs="Times New Roman"/>
                <w:b/>
                <w:bCs/>
                <w:color w:val="000000"/>
                <w:sz w:val="24"/>
                <w:szCs w:val="24"/>
                <w:highlight w:val="yellow"/>
              </w:rPr>
            </w:pPr>
          </w:p>
        </w:tc>
        <w:tc>
          <w:tcPr>
            <w:tcW w:w="1336" w:type="dxa"/>
            <w:tcBorders>
              <w:top w:val="nil"/>
              <w:left w:val="nil"/>
              <w:bottom w:val="nil"/>
              <w:right w:val="nil"/>
            </w:tcBorders>
            <w:shd w:val="clear" w:color="auto" w:fill="auto"/>
            <w:noWrap/>
            <w:vAlign w:val="bottom"/>
          </w:tcPr>
          <w:p w14:paraId="2806945D" w14:textId="77777777" w:rsidR="006802FF" w:rsidRPr="00186ACF" w:rsidRDefault="006802FF" w:rsidP="0072266A">
            <w:pPr>
              <w:spacing w:after="0" w:line="240" w:lineRule="auto"/>
              <w:jc w:val="right"/>
              <w:rPr>
                <w:rFonts w:ascii="Times New Roman" w:eastAsia="Times New Roman" w:hAnsi="Times New Roman" w:cs="Times New Roman"/>
                <w:b/>
                <w:bCs/>
                <w:color w:val="000000"/>
                <w:sz w:val="24"/>
                <w:szCs w:val="24"/>
                <w:highlight w:val="yellow"/>
              </w:rPr>
            </w:pPr>
          </w:p>
        </w:tc>
      </w:tr>
    </w:tbl>
    <w:p w14:paraId="63BF2403" w14:textId="3A81F017" w:rsidR="00223061" w:rsidRPr="00D724E7" w:rsidRDefault="00223061" w:rsidP="00223061">
      <w:pPr>
        <w:rPr>
          <w:rFonts w:ascii="Times New Roman" w:eastAsia="Times New Roman" w:hAnsi="Times New Roman" w:cs="Times New Roman"/>
          <w:color w:val="000000"/>
          <w:sz w:val="24"/>
          <w:szCs w:val="24"/>
        </w:rPr>
      </w:pPr>
      <w:r w:rsidRPr="00D724E7">
        <w:rPr>
          <w:rFonts w:ascii="Times New Roman" w:eastAsia="Times New Roman" w:hAnsi="Times New Roman" w:cs="Times New Roman"/>
          <w:color w:val="000000"/>
          <w:sz w:val="24"/>
          <w:szCs w:val="24"/>
        </w:rPr>
        <w:t xml:space="preserve">The following pro-forma Balance Sheet represents </w:t>
      </w:r>
      <w:r w:rsidR="00ED0029" w:rsidRPr="00D724E7">
        <w:rPr>
          <w:rFonts w:ascii="Times New Roman" w:eastAsia="Times New Roman" w:hAnsi="Times New Roman" w:cs="Times New Roman"/>
          <w:color w:val="000000"/>
          <w:sz w:val="24"/>
          <w:szCs w:val="24"/>
        </w:rPr>
        <w:t xml:space="preserve">Warm Springs </w:t>
      </w:r>
      <w:r w:rsidR="00E63F5D">
        <w:rPr>
          <w:rFonts w:ascii="Times New Roman" w:eastAsia="Times New Roman" w:hAnsi="Times New Roman" w:cs="Times New Roman"/>
          <w:color w:val="000000"/>
          <w:sz w:val="24"/>
          <w:szCs w:val="24"/>
        </w:rPr>
        <w:t xml:space="preserve">Casino </w:t>
      </w:r>
      <w:r w:rsidR="00ED0029" w:rsidRPr="00D724E7">
        <w:rPr>
          <w:rFonts w:ascii="Times New Roman" w:eastAsia="Times New Roman" w:hAnsi="Times New Roman" w:cs="Times New Roman"/>
          <w:color w:val="000000"/>
          <w:sz w:val="24"/>
          <w:szCs w:val="24"/>
        </w:rPr>
        <w:t>Enterprises Management</w:t>
      </w:r>
      <w:r w:rsidRPr="00D724E7">
        <w:rPr>
          <w:rFonts w:ascii="Times New Roman" w:eastAsia="Times New Roman" w:hAnsi="Times New Roman" w:cs="Times New Roman"/>
          <w:color w:val="000000"/>
          <w:sz w:val="24"/>
          <w:szCs w:val="24"/>
        </w:rPr>
        <w:t xml:space="preserve"> plan analysis and projections for the years ended December 31, 20</w:t>
      </w:r>
      <w:r w:rsidR="00A6318B" w:rsidRPr="00D724E7">
        <w:rPr>
          <w:rFonts w:ascii="Times New Roman" w:eastAsia="Times New Roman" w:hAnsi="Times New Roman" w:cs="Times New Roman"/>
          <w:color w:val="000000"/>
          <w:sz w:val="24"/>
          <w:szCs w:val="24"/>
        </w:rPr>
        <w:t>2</w:t>
      </w:r>
      <w:r w:rsidR="00B033E9">
        <w:rPr>
          <w:rFonts w:ascii="Times New Roman" w:eastAsia="Times New Roman" w:hAnsi="Times New Roman" w:cs="Times New Roman"/>
          <w:color w:val="000000"/>
          <w:sz w:val="24"/>
          <w:szCs w:val="24"/>
        </w:rPr>
        <w:t>1</w:t>
      </w:r>
      <w:r w:rsidRPr="00D724E7">
        <w:rPr>
          <w:rFonts w:ascii="Times New Roman" w:eastAsia="Times New Roman" w:hAnsi="Times New Roman" w:cs="Times New Roman"/>
          <w:color w:val="000000"/>
          <w:sz w:val="24"/>
          <w:szCs w:val="24"/>
        </w:rPr>
        <w:t xml:space="preserve"> to 20</w:t>
      </w:r>
      <w:r w:rsidR="005C12EB" w:rsidRPr="00D724E7">
        <w:rPr>
          <w:rFonts w:ascii="Times New Roman" w:eastAsia="Times New Roman" w:hAnsi="Times New Roman" w:cs="Times New Roman"/>
          <w:color w:val="000000"/>
          <w:sz w:val="24"/>
          <w:szCs w:val="24"/>
        </w:rPr>
        <w:t>2</w:t>
      </w:r>
      <w:r w:rsidR="00B033E9">
        <w:rPr>
          <w:rFonts w:ascii="Times New Roman" w:eastAsia="Times New Roman" w:hAnsi="Times New Roman" w:cs="Times New Roman"/>
          <w:color w:val="000000"/>
          <w:sz w:val="24"/>
          <w:szCs w:val="24"/>
        </w:rPr>
        <w:t>3</w:t>
      </w:r>
      <w:r w:rsidRPr="00D724E7">
        <w:rPr>
          <w:rFonts w:ascii="Times New Roman" w:eastAsia="Times New Roman" w:hAnsi="Times New Roman" w:cs="Times New Roman"/>
          <w:color w:val="000000"/>
          <w:sz w:val="24"/>
          <w:szCs w:val="24"/>
        </w:rPr>
        <w:t>:</w:t>
      </w:r>
    </w:p>
    <w:tbl>
      <w:tblPr>
        <w:tblW w:w="5760" w:type="dxa"/>
        <w:tblLook w:val="04A0" w:firstRow="1" w:lastRow="0" w:firstColumn="1" w:lastColumn="0" w:noHBand="0" w:noVBand="1"/>
      </w:tblPr>
      <w:tblGrid>
        <w:gridCol w:w="2734"/>
        <w:gridCol w:w="1482"/>
        <w:gridCol w:w="1482"/>
        <w:gridCol w:w="1482"/>
      </w:tblGrid>
      <w:tr w:rsidR="0072266A" w:rsidRPr="00D724E7" w14:paraId="6322066B" w14:textId="77777777" w:rsidTr="00C059D2">
        <w:trPr>
          <w:trHeight w:val="300"/>
        </w:trPr>
        <w:tc>
          <w:tcPr>
            <w:tcW w:w="7180" w:type="dxa"/>
            <w:gridSpan w:val="4"/>
            <w:tcBorders>
              <w:top w:val="nil"/>
              <w:left w:val="nil"/>
              <w:bottom w:val="nil"/>
              <w:right w:val="nil"/>
            </w:tcBorders>
            <w:shd w:val="clear" w:color="auto" w:fill="auto"/>
            <w:noWrap/>
            <w:vAlign w:val="bottom"/>
            <w:hideMark/>
          </w:tcPr>
          <w:p w14:paraId="36D56F8A" w14:textId="77777777" w:rsidR="008E0008" w:rsidRPr="00D724E7" w:rsidRDefault="008E0008" w:rsidP="0072266A">
            <w:pPr>
              <w:spacing w:after="0" w:line="240" w:lineRule="auto"/>
              <w:jc w:val="center"/>
              <w:rPr>
                <w:rFonts w:ascii="Times New Roman" w:eastAsia="Times New Roman" w:hAnsi="Times New Roman" w:cs="Times New Roman"/>
                <w:b/>
                <w:bCs/>
                <w:color w:val="000000"/>
                <w:sz w:val="24"/>
                <w:szCs w:val="24"/>
              </w:rPr>
            </w:pPr>
          </w:p>
          <w:p w14:paraId="3524E2EA" w14:textId="77777777" w:rsidR="0072266A" w:rsidRPr="00D724E7" w:rsidRDefault="0072266A" w:rsidP="0072266A">
            <w:pPr>
              <w:spacing w:after="0" w:line="240" w:lineRule="auto"/>
              <w:jc w:val="center"/>
              <w:rPr>
                <w:rFonts w:ascii="Times New Roman" w:eastAsia="Times New Roman" w:hAnsi="Times New Roman" w:cs="Times New Roman"/>
                <w:b/>
                <w:bCs/>
                <w:color w:val="000000"/>
                <w:sz w:val="24"/>
                <w:szCs w:val="24"/>
              </w:rPr>
            </w:pPr>
            <w:r w:rsidRPr="00D724E7">
              <w:rPr>
                <w:rFonts w:ascii="Times New Roman" w:eastAsia="Times New Roman" w:hAnsi="Times New Roman" w:cs="Times New Roman"/>
                <w:b/>
                <w:bCs/>
                <w:color w:val="000000"/>
                <w:sz w:val="24"/>
                <w:szCs w:val="24"/>
              </w:rPr>
              <w:t xml:space="preserve">Indian Head Casino &amp; </w:t>
            </w:r>
            <w:r w:rsidR="008E0008" w:rsidRPr="00D724E7">
              <w:rPr>
                <w:rFonts w:ascii="Times New Roman" w:eastAsia="Times New Roman" w:hAnsi="Times New Roman" w:cs="Times New Roman"/>
                <w:b/>
                <w:bCs/>
                <w:color w:val="000000"/>
                <w:sz w:val="24"/>
                <w:szCs w:val="24"/>
              </w:rPr>
              <w:t xml:space="preserve">Plateau </w:t>
            </w:r>
            <w:r w:rsidRPr="00D724E7">
              <w:rPr>
                <w:rFonts w:ascii="Times New Roman" w:eastAsia="Times New Roman" w:hAnsi="Times New Roman" w:cs="Times New Roman"/>
                <w:b/>
                <w:bCs/>
                <w:color w:val="000000"/>
                <w:sz w:val="24"/>
                <w:szCs w:val="24"/>
              </w:rPr>
              <w:t xml:space="preserve">Travel </w:t>
            </w:r>
            <w:r w:rsidR="008E0008" w:rsidRPr="00D724E7">
              <w:rPr>
                <w:rFonts w:ascii="Times New Roman" w:eastAsia="Times New Roman" w:hAnsi="Times New Roman" w:cs="Times New Roman"/>
                <w:b/>
                <w:bCs/>
                <w:color w:val="000000"/>
                <w:sz w:val="24"/>
                <w:szCs w:val="24"/>
              </w:rPr>
              <w:t>Plaza</w:t>
            </w:r>
          </w:p>
        </w:tc>
      </w:tr>
      <w:tr w:rsidR="0072266A" w:rsidRPr="00D724E7" w14:paraId="2FCC3FF5" w14:textId="77777777" w:rsidTr="00C059D2">
        <w:trPr>
          <w:trHeight w:val="300"/>
        </w:trPr>
        <w:tc>
          <w:tcPr>
            <w:tcW w:w="7180" w:type="dxa"/>
            <w:gridSpan w:val="4"/>
            <w:tcBorders>
              <w:top w:val="nil"/>
              <w:left w:val="nil"/>
              <w:bottom w:val="nil"/>
              <w:right w:val="nil"/>
            </w:tcBorders>
            <w:shd w:val="clear" w:color="auto" w:fill="auto"/>
            <w:noWrap/>
            <w:vAlign w:val="bottom"/>
            <w:hideMark/>
          </w:tcPr>
          <w:p w14:paraId="2B5D27CA" w14:textId="77777777" w:rsidR="0072266A" w:rsidRPr="00D724E7" w:rsidRDefault="0072266A" w:rsidP="0072266A">
            <w:pPr>
              <w:spacing w:after="0" w:line="240" w:lineRule="auto"/>
              <w:jc w:val="center"/>
              <w:rPr>
                <w:rFonts w:ascii="Times New Roman" w:eastAsia="Times New Roman" w:hAnsi="Times New Roman" w:cs="Times New Roman"/>
                <w:b/>
                <w:bCs/>
                <w:color w:val="000000"/>
                <w:sz w:val="24"/>
                <w:szCs w:val="24"/>
              </w:rPr>
            </w:pPr>
            <w:r w:rsidRPr="00D724E7">
              <w:rPr>
                <w:rFonts w:ascii="Times New Roman" w:eastAsia="Times New Roman" w:hAnsi="Times New Roman" w:cs="Times New Roman"/>
                <w:b/>
                <w:bCs/>
                <w:color w:val="000000"/>
                <w:sz w:val="24"/>
                <w:szCs w:val="24"/>
              </w:rPr>
              <w:t>Three Year Pro-</w:t>
            </w:r>
            <w:r w:rsidR="00981323" w:rsidRPr="00D724E7">
              <w:rPr>
                <w:rFonts w:ascii="Times New Roman" w:eastAsia="Times New Roman" w:hAnsi="Times New Roman" w:cs="Times New Roman"/>
                <w:b/>
                <w:bCs/>
                <w:color w:val="000000"/>
                <w:sz w:val="24"/>
                <w:szCs w:val="24"/>
              </w:rPr>
              <w:t>Forma</w:t>
            </w:r>
            <w:r w:rsidRPr="00D724E7">
              <w:rPr>
                <w:rFonts w:ascii="Times New Roman" w:eastAsia="Times New Roman" w:hAnsi="Times New Roman" w:cs="Times New Roman"/>
                <w:b/>
                <w:bCs/>
                <w:color w:val="000000"/>
                <w:sz w:val="24"/>
                <w:szCs w:val="24"/>
              </w:rPr>
              <w:t xml:space="preserve"> Balance Statement</w:t>
            </w:r>
          </w:p>
        </w:tc>
      </w:tr>
      <w:tr w:rsidR="0072266A" w:rsidRPr="00D724E7" w14:paraId="5102B9BE" w14:textId="77777777" w:rsidTr="00C059D2">
        <w:trPr>
          <w:trHeight w:val="195"/>
        </w:trPr>
        <w:tc>
          <w:tcPr>
            <w:tcW w:w="2734" w:type="dxa"/>
            <w:tcBorders>
              <w:top w:val="nil"/>
              <w:left w:val="nil"/>
              <w:bottom w:val="nil"/>
              <w:right w:val="nil"/>
            </w:tcBorders>
            <w:shd w:val="clear" w:color="auto" w:fill="auto"/>
            <w:noWrap/>
            <w:vAlign w:val="bottom"/>
            <w:hideMark/>
          </w:tcPr>
          <w:p w14:paraId="49BE7019" w14:textId="77777777" w:rsidR="0072266A" w:rsidRPr="00D724E7" w:rsidRDefault="0072266A" w:rsidP="0072266A">
            <w:pPr>
              <w:spacing w:after="0" w:line="240" w:lineRule="auto"/>
              <w:jc w:val="center"/>
              <w:rPr>
                <w:rFonts w:ascii="Times New Roman" w:eastAsia="Times New Roman" w:hAnsi="Times New Roman" w:cs="Times New Roman"/>
                <w:b/>
                <w:bCs/>
                <w:color w:val="000000"/>
                <w:sz w:val="24"/>
                <w:szCs w:val="24"/>
              </w:rPr>
            </w:pPr>
          </w:p>
        </w:tc>
        <w:tc>
          <w:tcPr>
            <w:tcW w:w="1482" w:type="dxa"/>
            <w:tcBorders>
              <w:top w:val="nil"/>
              <w:left w:val="nil"/>
              <w:bottom w:val="nil"/>
              <w:right w:val="nil"/>
            </w:tcBorders>
            <w:shd w:val="clear" w:color="auto" w:fill="auto"/>
            <w:noWrap/>
            <w:vAlign w:val="bottom"/>
            <w:hideMark/>
          </w:tcPr>
          <w:p w14:paraId="29DF3D9C" w14:textId="77777777" w:rsidR="0072266A" w:rsidRPr="00D724E7" w:rsidRDefault="0072266A" w:rsidP="0072266A">
            <w:pPr>
              <w:spacing w:after="0" w:line="240" w:lineRule="auto"/>
              <w:jc w:val="center"/>
              <w:rPr>
                <w:rFonts w:ascii="Times New Roman" w:eastAsia="Times New Roman" w:hAnsi="Times New Roman" w:cs="Times New Roman"/>
                <w:sz w:val="24"/>
                <w:szCs w:val="24"/>
              </w:rPr>
            </w:pPr>
          </w:p>
        </w:tc>
        <w:tc>
          <w:tcPr>
            <w:tcW w:w="1482" w:type="dxa"/>
            <w:tcBorders>
              <w:top w:val="nil"/>
              <w:left w:val="nil"/>
              <w:bottom w:val="nil"/>
              <w:right w:val="nil"/>
            </w:tcBorders>
            <w:shd w:val="clear" w:color="auto" w:fill="auto"/>
            <w:noWrap/>
            <w:vAlign w:val="bottom"/>
            <w:hideMark/>
          </w:tcPr>
          <w:p w14:paraId="744B4AEE" w14:textId="77777777" w:rsidR="0072266A" w:rsidRPr="00D724E7" w:rsidRDefault="0072266A" w:rsidP="0072266A">
            <w:pPr>
              <w:spacing w:after="0" w:line="240" w:lineRule="auto"/>
              <w:jc w:val="center"/>
              <w:rPr>
                <w:rFonts w:ascii="Times New Roman" w:eastAsia="Times New Roman" w:hAnsi="Times New Roman" w:cs="Times New Roman"/>
                <w:sz w:val="24"/>
                <w:szCs w:val="24"/>
              </w:rPr>
            </w:pPr>
          </w:p>
        </w:tc>
        <w:tc>
          <w:tcPr>
            <w:tcW w:w="1482" w:type="dxa"/>
            <w:tcBorders>
              <w:top w:val="nil"/>
              <w:left w:val="nil"/>
              <w:bottom w:val="nil"/>
              <w:right w:val="nil"/>
            </w:tcBorders>
            <w:shd w:val="clear" w:color="auto" w:fill="auto"/>
            <w:noWrap/>
            <w:vAlign w:val="bottom"/>
            <w:hideMark/>
          </w:tcPr>
          <w:p w14:paraId="078694AF" w14:textId="77777777" w:rsidR="0072266A" w:rsidRPr="00D724E7" w:rsidRDefault="0072266A" w:rsidP="0072266A">
            <w:pPr>
              <w:spacing w:after="0" w:line="240" w:lineRule="auto"/>
              <w:jc w:val="center"/>
              <w:rPr>
                <w:rFonts w:ascii="Times New Roman" w:eastAsia="Times New Roman" w:hAnsi="Times New Roman" w:cs="Times New Roman"/>
                <w:sz w:val="24"/>
                <w:szCs w:val="24"/>
              </w:rPr>
            </w:pPr>
          </w:p>
        </w:tc>
      </w:tr>
      <w:tr w:rsidR="0072266A" w:rsidRPr="00D724E7" w14:paraId="37522514" w14:textId="77777777" w:rsidTr="00C059D2">
        <w:trPr>
          <w:trHeight w:val="300"/>
        </w:trPr>
        <w:tc>
          <w:tcPr>
            <w:tcW w:w="2734" w:type="dxa"/>
            <w:tcBorders>
              <w:top w:val="nil"/>
              <w:left w:val="nil"/>
              <w:bottom w:val="nil"/>
              <w:right w:val="nil"/>
            </w:tcBorders>
            <w:shd w:val="clear" w:color="auto" w:fill="auto"/>
            <w:noWrap/>
            <w:vAlign w:val="bottom"/>
            <w:hideMark/>
          </w:tcPr>
          <w:p w14:paraId="709C8264" w14:textId="77777777" w:rsidR="0072266A" w:rsidRPr="00D724E7" w:rsidRDefault="0072266A" w:rsidP="0072266A">
            <w:pPr>
              <w:spacing w:after="0" w:line="240" w:lineRule="auto"/>
              <w:jc w:val="center"/>
              <w:rPr>
                <w:rFonts w:ascii="Times New Roman" w:eastAsia="Times New Roman" w:hAnsi="Times New Roman" w:cs="Times New Roman"/>
                <w:sz w:val="24"/>
                <w:szCs w:val="24"/>
              </w:rPr>
            </w:pPr>
          </w:p>
        </w:tc>
        <w:tc>
          <w:tcPr>
            <w:tcW w:w="1482" w:type="dxa"/>
            <w:tcBorders>
              <w:top w:val="nil"/>
              <w:left w:val="nil"/>
              <w:bottom w:val="nil"/>
              <w:right w:val="nil"/>
            </w:tcBorders>
            <w:shd w:val="clear" w:color="auto" w:fill="auto"/>
            <w:noWrap/>
            <w:vAlign w:val="bottom"/>
            <w:hideMark/>
          </w:tcPr>
          <w:p w14:paraId="3F432466" w14:textId="010577B2" w:rsidR="0072266A" w:rsidRPr="00D724E7" w:rsidRDefault="008E0008" w:rsidP="00706BB5">
            <w:pPr>
              <w:spacing w:after="0" w:line="240" w:lineRule="auto"/>
              <w:jc w:val="center"/>
              <w:rPr>
                <w:rFonts w:ascii="Times New Roman" w:eastAsia="Times New Roman" w:hAnsi="Times New Roman" w:cs="Times New Roman"/>
                <w:b/>
                <w:bCs/>
                <w:color w:val="000000"/>
                <w:sz w:val="24"/>
                <w:szCs w:val="24"/>
              </w:rPr>
            </w:pPr>
            <w:r w:rsidRPr="00D724E7">
              <w:rPr>
                <w:rFonts w:ascii="Times New Roman" w:eastAsia="Times New Roman" w:hAnsi="Times New Roman" w:cs="Times New Roman"/>
                <w:b/>
                <w:bCs/>
                <w:color w:val="000000"/>
                <w:sz w:val="24"/>
                <w:szCs w:val="24"/>
              </w:rPr>
              <w:t xml:space="preserve">    </w:t>
            </w:r>
            <w:r w:rsidR="0072266A" w:rsidRPr="00D724E7">
              <w:rPr>
                <w:rFonts w:ascii="Times New Roman" w:eastAsia="Times New Roman" w:hAnsi="Times New Roman" w:cs="Times New Roman"/>
                <w:b/>
                <w:bCs/>
                <w:color w:val="000000"/>
                <w:sz w:val="24"/>
                <w:szCs w:val="24"/>
              </w:rPr>
              <w:t>20</w:t>
            </w:r>
            <w:r w:rsidR="00336F7E" w:rsidRPr="00D724E7">
              <w:rPr>
                <w:rFonts w:ascii="Times New Roman" w:eastAsia="Times New Roman" w:hAnsi="Times New Roman" w:cs="Times New Roman"/>
                <w:b/>
                <w:bCs/>
                <w:color w:val="000000"/>
                <w:sz w:val="24"/>
                <w:szCs w:val="24"/>
              </w:rPr>
              <w:t>2</w:t>
            </w:r>
            <w:r w:rsidR="00293F92">
              <w:rPr>
                <w:rFonts w:ascii="Times New Roman" w:eastAsia="Times New Roman" w:hAnsi="Times New Roman" w:cs="Times New Roman"/>
                <w:b/>
                <w:bCs/>
                <w:color w:val="000000"/>
                <w:sz w:val="24"/>
                <w:szCs w:val="24"/>
              </w:rPr>
              <w:t>1</w:t>
            </w:r>
          </w:p>
        </w:tc>
        <w:tc>
          <w:tcPr>
            <w:tcW w:w="1482" w:type="dxa"/>
            <w:tcBorders>
              <w:top w:val="nil"/>
              <w:left w:val="nil"/>
              <w:bottom w:val="nil"/>
              <w:right w:val="nil"/>
            </w:tcBorders>
            <w:shd w:val="clear" w:color="auto" w:fill="auto"/>
            <w:noWrap/>
            <w:vAlign w:val="bottom"/>
            <w:hideMark/>
          </w:tcPr>
          <w:p w14:paraId="0DD83074" w14:textId="6F60EA46" w:rsidR="0072266A" w:rsidRPr="00D724E7" w:rsidRDefault="008E0008" w:rsidP="00706BB5">
            <w:pPr>
              <w:spacing w:after="0" w:line="240" w:lineRule="auto"/>
              <w:jc w:val="center"/>
              <w:rPr>
                <w:rFonts w:ascii="Times New Roman" w:eastAsia="Times New Roman" w:hAnsi="Times New Roman" w:cs="Times New Roman"/>
                <w:b/>
                <w:bCs/>
                <w:color w:val="000000"/>
                <w:sz w:val="24"/>
                <w:szCs w:val="24"/>
              </w:rPr>
            </w:pPr>
            <w:r w:rsidRPr="00D724E7">
              <w:rPr>
                <w:rFonts w:ascii="Times New Roman" w:eastAsia="Times New Roman" w:hAnsi="Times New Roman" w:cs="Times New Roman"/>
                <w:b/>
                <w:bCs/>
                <w:color w:val="000000"/>
                <w:sz w:val="24"/>
                <w:szCs w:val="24"/>
              </w:rPr>
              <w:t xml:space="preserve">    </w:t>
            </w:r>
            <w:r w:rsidR="0072266A" w:rsidRPr="00D724E7">
              <w:rPr>
                <w:rFonts w:ascii="Times New Roman" w:eastAsia="Times New Roman" w:hAnsi="Times New Roman" w:cs="Times New Roman"/>
                <w:b/>
                <w:bCs/>
                <w:color w:val="000000"/>
                <w:sz w:val="24"/>
                <w:szCs w:val="24"/>
              </w:rPr>
              <w:t>20</w:t>
            </w:r>
            <w:r w:rsidR="009052D9" w:rsidRPr="00D724E7">
              <w:rPr>
                <w:rFonts w:ascii="Times New Roman" w:eastAsia="Times New Roman" w:hAnsi="Times New Roman" w:cs="Times New Roman"/>
                <w:b/>
                <w:bCs/>
                <w:color w:val="000000"/>
                <w:sz w:val="24"/>
                <w:szCs w:val="24"/>
              </w:rPr>
              <w:t>2</w:t>
            </w:r>
            <w:r w:rsidR="00293F92">
              <w:rPr>
                <w:rFonts w:ascii="Times New Roman" w:eastAsia="Times New Roman" w:hAnsi="Times New Roman" w:cs="Times New Roman"/>
                <w:b/>
                <w:bCs/>
                <w:color w:val="000000"/>
                <w:sz w:val="24"/>
                <w:szCs w:val="24"/>
              </w:rPr>
              <w:t>2</w:t>
            </w:r>
          </w:p>
        </w:tc>
        <w:tc>
          <w:tcPr>
            <w:tcW w:w="1482" w:type="dxa"/>
            <w:tcBorders>
              <w:top w:val="nil"/>
              <w:left w:val="nil"/>
              <w:bottom w:val="nil"/>
              <w:right w:val="nil"/>
            </w:tcBorders>
            <w:shd w:val="clear" w:color="auto" w:fill="auto"/>
            <w:noWrap/>
            <w:vAlign w:val="bottom"/>
            <w:hideMark/>
          </w:tcPr>
          <w:p w14:paraId="39C78BFC" w14:textId="055A3880" w:rsidR="0072266A" w:rsidRPr="00D724E7" w:rsidRDefault="008E0008" w:rsidP="0072266A">
            <w:pPr>
              <w:spacing w:after="0" w:line="240" w:lineRule="auto"/>
              <w:jc w:val="center"/>
              <w:rPr>
                <w:rFonts w:ascii="Times New Roman" w:eastAsia="Times New Roman" w:hAnsi="Times New Roman" w:cs="Times New Roman"/>
                <w:b/>
                <w:bCs/>
                <w:color w:val="000000"/>
                <w:sz w:val="24"/>
                <w:szCs w:val="24"/>
              </w:rPr>
            </w:pPr>
            <w:r w:rsidRPr="00D724E7">
              <w:rPr>
                <w:rFonts w:ascii="Times New Roman" w:eastAsia="Times New Roman" w:hAnsi="Times New Roman" w:cs="Times New Roman"/>
                <w:b/>
                <w:bCs/>
                <w:color w:val="000000"/>
                <w:sz w:val="24"/>
                <w:szCs w:val="24"/>
              </w:rPr>
              <w:t xml:space="preserve">    </w:t>
            </w:r>
            <w:r w:rsidR="0072266A" w:rsidRPr="00D724E7">
              <w:rPr>
                <w:rFonts w:ascii="Times New Roman" w:eastAsia="Times New Roman" w:hAnsi="Times New Roman" w:cs="Times New Roman"/>
                <w:b/>
                <w:bCs/>
                <w:color w:val="000000"/>
                <w:sz w:val="24"/>
                <w:szCs w:val="24"/>
              </w:rPr>
              <w:t>2</w:t>
            </w:r>
            <w:r w:rsidR="00706BB5" w:rsidRPr="00D724E7">
              <w:rPr>
                <w:rFonts w:ascii="Times New Roman" w:eastAsia="Times New Roman" w:hAnsi="Times New Roman" w:cs="Times New Roman"/>
                <w:b/>
                <w:bCs/>
                <w:color w:val="000000"/>
                <w:sz w:val="24"/>
                <w:szCs w:val="24"/>
              </w:rPr>
              <w:t>0</w:t>
            </w:r>
            <w:r w:rsidR="00061E5B" w:rsidRPr="00D724E7">
              <w:rPr>
                <w:rFonts w:ascii="Times New Roman" w:eastAsia="Times New Roman" w:hAnsi="Times New Roman" w:cs="Times New Roman"/>
                <w:b/>
                <w:bCs/>
                <w:color w:val="000000"/>
                <w:sz w:val="24"/>
                <w:szCs w:val="24"/>
              </w:rPr>
              <w:t>2</w:t>
            </w:r>
            <w:r w:rsidR="00293F92">
              <w:rPr>
                <w:rFonts w:ascii="Times New Roman" w:eastAsia="Times New Roman" w:hAnsi="Times New Roman" w:cs="Times New Roman"/>
                <w:b/>
                <w:bCs/>
                <w:color w:val="000000"/>
                <w:sz w:val="24"/>
                <w:szCs w:val="24"/>
              </w:rPr>
              <w:t>3</w:t>
            </w:r>
          </w:p>
        </w:tc>
      </w:tr>
      <w:tr w:rsidR="0072266A" w:rsidRPr="00293F92" w14:paraId="1DD941CE" w14:textId="77777777" w:rsidTr="00C059D2">
        <w:trPr>
          <w:trHeight w:val="300"/>
        </w:trPr>
        <w:tc>
          <w:tcPr>
            <w:tcW w:w="2734" w:type="dxa"/>
            <w:tcBorders>
              <w:top w:val="nil"/>
              <w:left w:val="nil"/>
              <w:bottom w:val="nil"/>
              <w:right w:val="nil"/>
            </w:tcBorders>
            <w:shd w:val="clear" w:color="auto" w:fill="auto"/>
            <w:noWrap/>
            <w:vAlign w:val="bottom"/>
            <w:hideMark/>
          </w:tcPr>
          <w:p w14:paraId="656544A2" w14:textId="77777777" w:rsidR="0072266A" w:rsidRPr="00D724E7" w:rsidRDefault="0072266A" w:rsidP="0072266A">
            <w:pPr>
              <w:spacing w:after="0" w:line="240" w:lineRule="auto"/>
              <w:rPr>
                <w:rFonts w:ascii="Times New Roman" w:eastAsia="Times New Roman" w:hAnsi="Times New Roman" w:cs="Times New Roman"/>
                <w:color w:val="000000"/>
                <w:sz w:val="24"/>
                <w:szCs w:val="24"/>
              </w:rPr>
            </w:pPr>
            <w:r w:rsidRPr="00D724E7">
              <w:rPr>
                <w:rFonts w:ascii="Times New Roman" w:eastAsia="Times New Roman" w:hAnsi="Times New Roman" w:cs="Times New Roman"/>
                <w:color w:val="000000"/>
                <w:sz w:val="24"/>
                <w:szCs w:val="24"/>
              </w:rPr>
              <w:t>Current Assets</w:t>
            </w:r>
          </w:p>
        </w:tc>
        <w:tc>
          <w:tcPr>
            <w:tcW w:w="1482" w:type="dxa"/>
            <w:tcBorders>
              <w:top w:val="nil"/>
              <w:left w:val="nil"/>
              <w:bottom w:val="nil"/>
              <w:right w:val="nil"/>
            </w:tcBorders>
            <w:shd w:val="clear" w:color="auto" w:fill="auto"/>
            <w:noWrap/>
            <w:vAlign w:val="bottom"/>
            <w:hideMark/>
          </w:tcPr>
          <w:p w14:paraId="7906E8EB" w14:textId="00663733" w:rsidR="0072266A" w:rsidRPr="00737DBE" w:rsidRDefault="0072266A"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676094" w:rsidRPr="00737DBE">
              <w:rPr>
                <w:rFonts w:ascii="Times New Roman" w:eastAsia="Times New Roman" w:hAnsi="Times New Roman" w:cs="Times New Roman"/>
                <w:color w:val="000000"/>
                <w:sz w:val="24"/>
                <w:szCs w:val="24"/>
              </w:rPr>
              <w:t>5</w:t>
            </w:r>
            <w:r w:rsidRPr="00737DBE">
              <w:rPr>
                <w:rFonts w:ascii="Times New Roman" w:eastAsia="Times New Roman" w:hAnsi="Times New Roman" w:cs="Times New Roman"/>
                <w:color w:val="000000"/>
                <w:sz w:val="24"/>
                <w:szCs w:val="24"/>
              </w:rPr>
              <w:t>,</w:t>
            </w:r>
            <w:r w:rsidR="00737DBE" w:rsidRPr="00737DBE">
              <w:rPr>
                <w:rFonts w:ascii="Times New Roman" w:eastAsia="Times New Roman" w:hAnsi="Times New Roman" w:cs="Times New Roman"/>
                <w:color w:val="000000"/>
                <w:sz w:val="24"/>
                <w:szCs w:val="24"/>
              </w:rPr>
              <w:t>0</w:t>
            </w:r>
            <w:r w:rsidRPr="00737DBE">
              <w:rPr>
                <w:rFonts w:ascii="Times New Roman" w:eastAsia="Times New Roman" w:hAnsi="Times New Roman" w:cs="Times New Roman"/>
                <w:color w:val="000000"/>
                <w:sz w:val="24"/>
                <w:szCs w:val="24"/>
              </w:rPr>
              <w:t xml:space="preserve">00,000 </w:t>
            </w:r>
          </w:p>
        </w:tc>
        <w:tc>
          <w:tcPr>
            <w:tcW w:w="1482" w:type="dxa"/>
            <w:tcBorders>
              <w:top w:val="nil"/>
              <w:left w:val="nil"/>
              <w:bottom w:val="nil"/>
              <w:right w:val="nil"/>
            </w:tcBorders>
            <w:shd w:val="clear" w:color="auto" w:fill="auto"/>
            <w:noWrap/>
            <w:vAlign w:val="bottom"/>
            <w:hideMark/>
          </w:tcPr>
          <w:p w14:paraId="1922790F" w14:textId="485FA7E3" w:rsidR="0072266A" w:rsidRPr="00737DBE" w:rsidRDefault="0072266A"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C059D2" w:rsidRPr="00737DBE">
              <w:rPr>
                <w:rFonts w:ascii="Times New Roman" w:eastAsia="Times New Roman" w:hAnsi="Times New Roman" w:cs="Times New Roman"/>
                <w:color w:val="000000"/>
                <w:sz w:val="24"/>
                <w:szCs w:val="24"/>
              </w:rPr>
              <w:t>5</w:t>
            </w:r>
            <w:r w:rsidRPr="00737DBE">
              <w:rPr>
                <w:rFonts w:ascii="Times New Roman" w:eastAsia="Times New Roman" w:hAnsi="Times New Roman" w:cs="Times New Roman"/>
                <w:color w:val="000000"/>
                <w:sz w:val="24"/>
                <w:szCs w:val="24"/>
              </w:rPr>
              <w:t>,</w:t>
            </w:r>
            <w:r w:rsidR="00737DBE" w:rsidRPr="00737DBE">
              <w:rPr>
                <w:rFonts w:ascii="Times New Roman" w:eastAsia="Times New Roman" w:hAnsi="Times New Roman" w:cs="Times New Roman"/>
                <w:color w:val="000000"/>
                <w:sz w:val="24"/>
                <w:szCs w:val="24"/>
              </w:rPr>
              <w:t>0</w:t>
            </w:r>
            <w:r w:rsidRPr="00737DBE">
              <w:rPr>
                <w:rFonts w:ascii="Times New Roman" w:eastAsia="Times New Roman" w:hAnsi="Times New Roman" w:cs="Times New Roman"/>
                <w:color w:val="000000"/>
                <w:sz w:val="24"/>
                <w:szCs w:val="24"/>
              </w:rPr>
              <w:t xml:space="preserve">00,000 </w:t>
            </w:r>
          </w:p>
        </w:tc>
        <w:tc>
          <w:tcPr>
            <w:tcW w:w="1482" w:type="dxa"/>
            <w:tcBorders>
              <w:top w:val="nil"/>
              <w:left w:val="nil"/>
              <w:bottom w:val="nil"/>
              <w:right w:val="nil"/>
            </w:tcBorders>
            <w:shd w:val="clear" w:color="auto" w:fill="auto"/>
            <w:noWrap/>
            <w:vAlign w:val="bottom"/>
            <w:hideMark/>
          </w:tcPr>
          <w:p w14:paraId="5A8AE753" w14:textId="77F0BF7F" w:rsidR="0072266A" w:rsidRPr="00737DBE" w:rsidRDefault="0072266A"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CB4119" w:rsidRPr="00737DBE">
              <w:rPr>
                <w:rFonts w:ascii="Times New Roman" w:eastAsia="Times New Roman" w:hAnsi="Times New Roman" w:cs="Times New Roman"/>
                <w:color w:val="000000"/>
                <w:sz w:val="24"/>
                <w:szCs w:val="24"/>
              </w:rPr>
              <w:t>5</w:t>
            </w:r>
            <w:r w:rsidRPr="00737DBE">
              <w:rPr>
                <w:rFonts w:ascii="Times New Roman" w:eastAsia="Times New Roman" w:hAnsi="Times New Roman" w:cs="Times New Roman"/>
                <w:color w:val="000000"/>
                <w:sz w:val="24"/>
                <w:szCs w:val="24"/>
              </w:rPr>
              <w:t>,</w:t>
            </w:r>
            <w:r w:rsidR="00D724E7" w:rsidRPr="00737DBE">
              <w:rPr>
                <w:rFonts w:ascii="Times New Roman" w:eastAsia="Times New Roman" w:hAnsi="Times New Roman" w:cs="Times New Roman"/>
                <w:color w:val="000000"/>
                <w:sz w:val="24"/>
                <w:szCs w:val="24"/>
              </w:rPr>
              <w:t>0</w:t>
            </w:r>
            <w:r w:rsidRPr="00737DBE">
              <w:rPr>
                <w:rFonts w:ascii="Times New Roman" w:eastAsia="Times New Roman" w:hAnsi="Times New Roman" w:cs="Times New Roman"/>
                <w:color w:val="000000"/>
                <w:sz w:val="24"/>
                <w:szCs w:val="24"/>
              </w:rPr>
              <w:t xml:space="preserve">00,000 </w:t>
            </w:r>
          </w:p>
        </w:tc>
      </w:tr>
      <w:tr w:rsidR="0072266A" w:rsidRPr="00293F92" w14:paraId="614F3D27" w14:textId="77777777" w:rsidTr="00C059D2">
        <w:trPr>
          <w:trHeight w:val="300"/>
        </w:trPr>
        <w:tc>
          <w:tcPr>
            <w:tcW w:w="2734" w:type="dxa"/>
            <w:tcBorders>
              <w:top w:val="nil"/>
              <w:left w:val="nil"/>
              <w:bottom w:val="nil"/>
              <w:right w:val="nil"/>
            </w:tcBorders>
            <w:shd w:val="clear" w:color="auto" w:fill="auto"/>
            <w:noWrap/>
            <w:vAlign w:val="bottom"/>
            <w:hideMark/>
          </w:tcPr>
          <w:p w14:paraId="32BE4FD5" w14:textId="77777777" w:rsidR="0072266A" w:rsidRPr="00D724E7" w:rsidRDefault="0072266A" w:rsidP="0072266A">
            <w:pPr>
              <w:spacing w:after="0" w:line="240" w:lineRule="auto"/>
              <w:rPr>
                <w:rFonts w:ascii="Times New Roman" w:eastAsia="Times New Roman" w:hAnsi="Times New Roman" w:cs="Times New Roman"/>
                <w:color w:val="000000"/>
                <w:sz w:val="24"/>
                <w:szCs w:val="24"/>
              </w:rPr>
            </w:pPr>
            <w:r w:rsidRPr="00D724E7">
              <w:rPr>
                <w:rFonts w:ascii="Times New Roman" w:eastAsia="Times New Roman" w:hAnsi="Times New Roman" w:cs="Times New Roman"/>
                <w:color w:val="000000"/>
                <w:sz w:val="24"/>
                <w:szCs w:val="24"/>
              </w:rPr>
              <w:t>Capital (Net)</w:t>
            </w:r>
          </w:p>
        </w:tc>
        <w:tc>
          <w:tcPr>
            <w:tcW w:w="1482" w:type="dxa"/>
            <w:tcBorders>
              <w:top w:val="nil"/>
              <w:left w:val="nil"/>
              <w:bottom w:val="single" w:sz="4" w:space="0" w:color="auto"/>
              <w:right w:val="nil"/>
            </w:tcBorders>
            <w:shd w:val="clear" w:color="auto" w:fill="auto"/>
            <w:noWrap/>
            <w:vAlign w:val="bottom"/>
            <w:hideMark/>
          </w:tcPr>
          <w:p w14:paraId="4A09699B" w14:textId="73D58E82" w:rsidR="0072266A" w:rsidRPr="00737DBE" w:rsidRDefault="00737DBE"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16</w:t>
            </w:r>
            <w:r w:rsidR="007E6F23" w:rsidRPr="00737DBE">
              <w:rPr>
                <w:rFonts w:ascii="Times New Roman" w:eastAsia="Times New Roman" w:hAnsi="Times New Roman" w:cs="Times New Roman"/>
                <w:color w:val="000000"/>
                <w:sz w:val="24"/>
                <w:szCs w:val="24"/>
              </w:rPr>
              <w:t>,</w:t>
            </w:r>
            <w:r w:rsidRPr="00737DBE">
              <w:rPr>
                <w:rFonts w:ascii="Times New Roman" w:eastAsia="Times New Roman" w:hAnsi="Times New Roman" w:cs="Times New Roman"/>
                <w:color w:val="000000"/>
                <w:sz w:val="24"/>
                <w:szCs w:val="24"/>
              </w:rPr>
              <w:t>75</w:t>
            </w:r>
            <w:r w:rsidR="007E6F23" w:rsidRPr="00737DBE">
              <w:rPr>
                <w:rFonts w:ascii="Times New Roman" w:eastAsia="Times New Roman" w:hAnsi="Times New Roman" w:cs="Times New Roman"/>
                <w:color w:val="000000"/>
                <w:sz w:val="24"/>
                <w:szCs w:val="24"/>
              </w:rPr>
              <w:t>0,000</w:t>
            </w:r>
            <w:r w:rsidR="0072266A" w:rsidRPr="00737DBE">
              <w:rPr>
                <w:rFonts w:ascii="Times New Roman" w:eastAsia="Times New Roman" w:hAnsi="Times New Roman" w:cs="Times New Roman"/>
                <w:color w:val="000000"/>
                <w:sz w:val="24"/>
                <w:szCs w:val="24"/>
              </w:rPr>
              <w:t xml:space="preserve">    </w:t>
            </w:r>
          </w:p>
        </w:tc>
        <w:tc>
          <w:tcPr>
            <w:tcW w:w="1482" w:type="dxa"/>
            <w:tcBorders>
              <w:top w:val="nil"/>
              <w:left w:val="nil"/>
              <w:bottom w:val="single" w:sz="4" w:space="0" w:color="auto"/>
              <w:right w:val="nil"/>
            </w:tcBorders>
            <w:shd w:val="clear" w:color="auto" w:fill="auto"/>
            <w:noWrap/>
            <w:vAlign w:val="bottom"/>
            <w:hideMark/>
          </w:tcPr>
          <w:p w14:paraId="6625473B" w14:textId="72E312EB" w:rsidR="0072266A" w:rsidRPr="00737DBE" w:rsidRDefault="0072266A"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D724E7" w:rsidRPr="00737DBE">
              <w:rPr>
                <w:rFonts w:ascii="Times New Roman" w:eastAsia="Times New Roman" w:hAnsi="Times New Roman" w:cs="Times New Roman"/>
                <w:color w:val="000000"/>
                <w:sz w:val="24"/>
                <w:szCs w:val="24"/>
              </w:rPr>
              <w:t>1</w:t>
            </w:r>
            <w:r w:rsidR="00737DBE" w:rsidRPr="00737DBE">
              <w:rPr>
                <w:rFonts w:ascii="Times New Roman" w:eastAsia="Times New Roman" w:hAnsi="Times New Roman" w:cs="Times New Roman"/>
                <w:color w:val="000000"/>
                <w:sz w:val="24"/>
                <w:szCs w:val="24"/>
              </w:rPr>
              <w:t>5</w:t>
            </w:r>
            <w:r w:rsidR="00CB4119" w:rsidRPr="00737DBE">
              <w:rPr>
                <w:rFonts w:ascii="Times New Roman" w:eastAsia="Times New Roman" w:hAnsi="Times New Roman" w:cs="Times New Roman"/>
                <w:color w:val="000000"/>
                <w:sz w:val="24"/>
                <w:szCs w:val="24"/>
              </w:rPr>
              <w:t>,</w:t>
            </w:r>
            <w:r w:rsidR="00737DBE" w:rsidRPr="00737DBE">
              <w:rPr>
                <w:rFonts w:ascii="Times New Roman" w:eastAsia="Times New Roman" w:hAnsi="Times New Roman" w:cs="Times New Roman"/>
                <w:color w:val="000000"/>
                <w:sz w:val="24"/>
                <w:szCs w:val="24"/>
              </w:rPr>
              <w:t>250</w:t>
            </w:r>
            <w:r w:rsidRPr="00737DBE">
              <w:rPr>
                <w:rFonts w:ascii="Times New Roman" w:eastAsia="Times New Roman" w:hAnsi="Times New Roman" w:cs="Times New Roman"/>
                <w:color w:val="000000"/>
                <w:sz w:val="24"/>
                <w:szCs w:val="24"/>
              </w:rPr>
              <w:t xml:space="preserve">,000 </w:t>
            </w:r>
          </w:p>
        </w:tc>
        <w:tc>
          <w:tcPr>
            <w:tcW w:w="1482" w:type="dxa"/>
            <w:tcBorders>
              <w:top w:val="nil"/>
              <w:left w:val="nil"/>
              <w:bottom w:val="single" w:sz="4" w:space="0" w:color="auto"/>
              <w:right w:val="nil"/>
            </w:tcBorders>
            <w:shd w:val="clear" w:color="auto" w:fill="auto"/>
            <w:noWrap/>
            <w:vAlign w:val="bottom"/>
            <w:hideMark/>
          </w:tcPr>
          <w:p w14:paraId="3F2AA02A" w14:textId="055F82AA" w:rsidR="0072266A" w:rsidRPr="00737DBE" w:rsidRDefault="0072266A"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D724E7" w:rsidRPr="00737DBE">
              <w:rPr>
                <w:rFonts w:ascii="Times New Roman" w:eastAsia="Times New Roman" w:hAnsi="Times New Roman" w:cs="Times New Roman"/>
                <w:color w:val="000000"/>
                <w:sz w:val="24"/>
                <w:szCs w:val="24"/>
              </w:rPr>
              <w:t>1</w:t>
            </w:r>
            <w:r w:rsidR="00737DBE" w:rsidRPr="00737DBE">
              <w:rPr>
                <w:rFonts w:ascii="Times New Roman" w:eastAsia="Times New Roman" w:hAnsi="Times New Roman" w:cs="Times New Roman"/>
                <w:color w:val="000000"/>
                <w:sz w:val="24"/>
                <w:szCs w:val="24"/>
              </w:rPr>
              <w:t>3</w:t>
            </w:r>
            <w:r w:rsidRPr="00737DBE">
              <w:rPr>
                <w:rFonts w:ascii="Times New Roman" w:eastAsia="Times New Roman" w:hAnsi="Times New Roman" w:cs="Times New Roman"/>
                <w:color w:val="000000"/>
                <w:sz w:val="24"/>
                <w:szCs w:val="24"/>
              </w:rPr>
              <w:t>,</w:t>
            </w:r>
            <w:r w:rsidR="00737DBE" w:rsidRPr="00737DBE">
              <w:rPr>
                <w:rFonts w:ascii="Times New Roman" w:eastAsia="Times New Roman" w:hAnsi="Times New Roman" w:cs="Times New Roman"/>
                <w:color w:val="000000"/>
                <w:sz w:val="24"/>
                <w:szCs w:val="24"/>
              </w:rPr>
              <w:t>650</w:t>
            </w:r>
            <w:r w:rsidRPr="00737DBE">
              <w:rPr>
                <w:rFonts w:ascii="Times New Roman" w:eastAsia="Times New Roman" w:hAnsi="Times New Roman" w:cs="Times New Roman"/>
                <w:color w:val="000000"/>
                <w:sz w:val="24"/>
                <w:szCs w:val="24"/>
              </w:rPr>
              <w:t>,</w:t>
            </w:r>
            <w:r w:rsidR="00CB4119" w:rsidRPr="00737DBE">
              <w:rPr>
                <w:rFonts w:ascii="Times New Roman" w:eastAsia="Times New Roman" w:hAnsi="Times New Roman" w:cs="Times New Roman"/>
                <w:color w:val="000000"/>
                <w:sz w:val="24"/>
                <w:szCs w:val="24"/>
              </w:rPr>
              <w:t>0</w:t>
            </w:r>
            <w:r w:rsidRPr="00737DBE">
              <w:rPr>
                <w:rFonts w:ascii="Times New Roman" w:eastAsia="Times New Roman" w:hAnsi="Times New Roman" w:cs="Times New Roman"/>
                <w:color w:val="000000"/>
                <w:sz w:val="24"/>
                <w:szCs w:val="24"/>
              </w:rPr>
              <w:t xml:space="preserve">00 </w:t>
            </w:r>
          </w:p>
        </w:tc>
      </w:tr>
      <w:tr w:rsidR="0072266A" w:rsidRPr="00293F92" w14:paraId="00239525" w14:textId="77777777" w:rsidTr="00C059D2">
        <w:trPr>
          <w:trHeight w:val="300"/>
        </w:trPr>
        <w:tc>
          <w:tcPr>
            <w:tcW w:w="2734" w:type="dxa"/>
            <w:tcBorders>
              <w:top w:val="nil"/>
              <w:left w:val="nil"/>
              <w:bottom w:val="nil"/>
              <w:right w:val="nil"/>
            </w:tcBorders>
            <w:shd w:val="clear" w:color="auto" w:fill="auto"/>
            <w:noWrap/>
            <w:vAlign w:val="bottom"/>
            <w:hideMark/>
          </w:tcPr>
          <w:p w14:paraId="37E9EF77" w14:textId="77777777" w:rsidR="0072266A" w:rsidRPr="00D724E7" w:rsidRDefault="0072266A" w:rsidP="0072266A">
            <w:pPr>
              <w:spacing w:after="0" w:line="240" w:lineRule="auto"/>
              <w:rPr>
                <w:rFonts w:ascii="Times New Roman" w:eastAsia="Times New Roman" w:hAnsi="Times New Roman" w:cs="Times New Roman"/>
                <w:color w:val="000000"/>
                <w:sz w:val="24"/>
                <w:szCs w:val="24"/>
              </w:rPr>
            </w:pPr>
            <w:r w:rsidRPr="00D724E7">
              <w:rPr>
                <w:rFonts w:ascii="Times New Roman" w:eastAsia="Times New Roman" w:hAnsi="Times New Roman" w:cs="Times New Roman"/>
                <w:color w:val="000000"/>
                <w:sz w:val="24"/>
                <w:szCs w:val="24"/>
              </w:rPr>
              <w:t>Total Assets</w:t>
            </w:r>
          </w:p>
        </w:tc>
        <w:tc>
          <w:tcPr>
            <w:tcW w:w="1482" w:type="dxa"/>
            <w:tcBorders>
              <w:top w:val="nil"/>
              <w:left w:val="nil"/>
              <w:bottom w:val="nil"/>
              <w:right w:val="nil"/>
            </w:tcBorders>
            <w:shd w:val="clear" w:color="auto" w:fill="auto"/>
            <w:noWrap/>
            <w:vAlign w:val="bottom"/>
            <w:hideMark/>
          </w:tcPr>
          <w:p w14:paraId="24946A18" w14:textId="60E383E0" w:rsidR="0072266A" w:rsidRPr="00737DBE" w:rsidRDefault="0072266A"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C059D2" w:rsidRPr="00737DBE">
              <w:rPr>
                <w:rFonts w:ascii="Times New Roman" w:eastAsia="Times New Roman" w:hAnsi="Times New Roman" w:cs="Times New Roman"/>
                <w:color w:val="000000"/>
                <w:sz w:val="24"/>
                <w:szCs w:val="24"/>
              </w:rPr>
              <w:t>2</w:t>
            </w:r>
            <w:r w:rsidR="00737DBE" w:rsidRPr="00737DBE">
              <w:rPr>
                <w:rFonts w:ascii="Times New Roman" w:eastAsia="Times New Roman" w:hAnsi="Times New Roman" w:cs="Times New Roman"/>
                <w:color w:val="000000"/>
                <w:sz w:val="24"/>
                <w:szCs w:val="24"/>
              </w:rPr>
              <w:t>1</w:t>
            </w:r>
            <w:r w:rsidRPr="00737DBE">
              <w:rPr>
                <w:rFonts w:ascii="Times New Roman" w:eastAsia="Times New Roman" w:hAnsi="Times New Roman" w:cs="Times New Roman"/>
                <w:color w:val="000000"/>
                <w:sz w:val="24"/>
                <w:szCs w:val="24"/>
              </w:rPr>
              <w:t>,</w:t>
            </w:r>
            <w:r w:rsidR="00737DBE" w:rsidRPr="00737DBE">
              <w:rPr>
                <w:rFonts w:ascii="Times New Roman" w:eastAsia="Times New Roman" w:hAnsi="Times New Roman" w:cs="Times New Roman"/>
                <w:color w:val="000000"/>
                <w:sz w:val="24"/>
                <w:szCs w:val="24"/>
              </w:rPr>
              <w:t>750</w:t>
            </w:r>
            <w:r w:rsidRPr="00737DBE">
              <w:rPr>
                <w:rFonts w:ascii="Times New Roman" w:eastAsia="Times New Roman" w:hAnsi="Times New Roman" w:cs="Times New Roman"/>
                <w:color w:val="000000"/>
                <w:sz w:val="24"/>
                <w:szCs w:val="24"/>
              </w:rPr>
              <w:t xml:space="preserve">,000 </w:t>
            </w:r>
          </w:p>
        </w:tc>
        <w:tc>
          <w:tcPr>
            <w:tcW w:w="1482" w:type="dxa"/>
            <w:tcBorders>
              <w:top w:val="nil"/>
              <w:left w:val="nil"/>
              <w:bottom w:val="nil"/>
              <w:right w:val="nil"/>
            </w:tcBorders>
            <w:shd w:val="clear" w:color="auto" w:fill="auto"/>
            <w:noWrap/>
            <w:vAlign w:val="bottom"/>
            <w:hideMark/>
          </w:tcPr>
          <w:p w14:paraId="6CB6E798" w14:textId="28F84076" w:rsidR="0072266A" w:rsidRPr="00737DBE" w:rsidRDefault="004F5014"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7E6F23" w:rsidRPr="00737DBE">
              <w:rPr>
                <w:rFonts w:ascii="Times New Roman" w:eastAsia="Times New Roman" w:hAnsi="Times New Roman" w:cs="Times New Roman"/>
                <w:color w:val="000000"/>
                <w:sz w:val="24"/>
                <w:szCs w:val="24"/>
              </w:rPr>
              <w:t>2</w:t>
            </w:r>
            <w:r w:rsidR="00737DBE" w:rsidRPr="00737DBE">
              <w:rPr>
                <w:rFonts w:ascii="Times New Roman" w:eastAsia="Times New Roman" w:hAnsi="Times New Roman" w:cs="Times New Roman"/>
                <w:color w:val="000000"/>
                <w:sz w:val="24"/>
                <w:szCs w:val="24"/>
              </w:rPr>
              <w:t>0,250</w:t>
            </w:r>
            <w:r w:rsidRPr="00737DBE">
              <w:rPr>
                <w:rFonts w:ascii="Times New Roman" w:eastAsia="Times New Roman" w:hAnsi="Times New Roman" w:cs="Times New Roman"/>
                <w:color w:val="000000"/>
                <w:sz w:val="24"/>
                <w:szCs w:val="24"/>
              </w:rPr>
              <w:t>,</w:t>
            </w:r>
            <w:r w:rsidR="0072266A" w:rsidRPr="00737DBE">
              <w:rPr>
                <w:rFonts w:ascii="Times New Roman" w:eastAsia="Times New Roman" w:hAnsi="Times New Roman" w:cs="Times New Roman"/>
                <w:color w:val="000000"/>
                <w:sz w:val="24"/>
                <w:szCs w:val="24"/>
              </w:rPr>
              <w:t xml:space="preserve">000 </w:t>
            </w:r>
          </w:p>
        </w:tc>
        <w:tc>
          <w:tcPr>
            <w:tcW w:w="1482" w:type="dxa"/>
            <w:tcBorders>
              <w:top w:val="nil"/>
              <w:left w:val="nil"/>
              <w:bottom w:val="nil"/>
              <w:right w:val="nil"/>
            </w:tcBorders>
            <w:shd w:val="clear" w:color="auto" w:fill="auto"/>
            <w:noWrap/>
            <w:vAlign w:val="bottom"/>
            <w:hideMark/>
          </w:tcPr>
          <w:p w14:paraId="3FDF99FF" w14:textId="10700095" w:rsidR="0072266A" w:rsidRPr="00737DBE" w:rsidRDefault="0072266A"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737DBE" w:rsidRPr="00737DBE">
              <w:rPr>
                <w:rFonts w:ascii="Times New Roman" w:eastAsia="Times New Roman" w:hAnsi="Times New Roman" w:cs="Times New Roman"/>
                <w:color w:val="000000"/>
                <w:sz w:val="24"/>
                <w:szCs w:val="24"/>
              </w:rPr>
              <w:t>18</w:t>
            </w:r>
            <w:r w:rsidR="004F5014" w:rsidRPr="00737DBE">
              <w:rPr>
                <w:rFonts w:ascii="Times New Roman" w:eastAsia="Times New Roman" w:hAnsi="Times New Roman" w:cs="Times New Roman"/>
                <w:color w:val="000000"/>
                <w:sz w:val="24"/>
                <w:szCs w:val="24"/>
              </w:rPr>
              <w:t>,</w:t>
            </w:r>
            <w:r w:rsidR="00737DBE" w:rsidRPr="00737DBE">
              <w:rPr>
                <w:rFonts w:ascii="Times New Roman" w:eastAsia="Times New Roman" w:hAnsi="Times New Roman" w:cs="Times New Roman"/>
                <w:color w:val="000000"/>
                <w:sz w:val="24"/>
                <w:szCs w:val="24"/>
              </w:rPr>
              <w:t>650</w:t>
            </w:r>
            <w:r w:rsidRPr="00737DBE">
              <w:rPr>
                <w:rFonts w:ascii="Times New Roman" w:eastAsia="Times New Roman" w:hAnsi="Times New Roman" w:cs="Times New Roman"/>
                <w:color w:val="000000"/>
                <w:sz w:val="24"/>
                <w:szCs w:val="24"/>
              </w:rPr>
              <w:t>,</w:t>
            </w:r>
            <w:r w:rsidR="00CB4119" w:rsidRPr="00737DBE">
              <w:rPr>
                <w:rFonts w:ascii="Times New Roman" w:eastAsia="Times New Roman" w:hAnsi="Times New Roman" w:cs="Times New Roman"/>
                <w:color w:val="000000"/>
                <w:sz w:val="24"/>
                <w:szCs w:val="24"/>
              </w:rPr>
              <w:t>0</w:t>
            </w:r>
            <w:r w:rsidRPr="00737DBE">
              <w:rPr>
                <w:rFonts w:ascii="Times New Roman" w:eastAsia="Times New Roman" w:hAnsi="Times New Roman" w:cs="Times New Roman"/>
                <w:color w:val="000000"/>
                <w:sz w:val="24"/>
                <w:szCs w:val="24"/>
              </w:rPr>
              <w:t xml:space="preserve">00 </w:t>
            </w:r>
          </w:p>
        </w:tc>
      </w:tr>
      <w:tr w:rsidR="0072266A" w:rsidRPr="00293F92" w14:paraId="1ACE9A65" w14:textId="77777777" w:rsidTr="00C059D2">
        <w:trPr>
          <w:trHeight w:val="300"/>
        </w:trPr>
        <w:tc>
          <w:tcPr>
            <w:tcW w:w="2734" w:type="dxa"/>
            <w:tcBorders>
              <w:top w:val="nil"/>
              <w:left w:val="nil"/>
              <w:bottom w:val="nil"/>
              <w:right w:val="nil"/>
            </w:tcBorders>
            <w:shd w:val="clear" w:color="auto" w:fill="auto"/>
            <w:noWrap/>
            <w:vAlign w:val="bottom"/>
            <w:hideMark/>
          </w:tcPr>
          <w:p w14:paraId="701D672F" w14:textId="77777777" w:rsidR="0072266A" w:rsidRPr="00D724E7" w:rsidRDefault="0072266A" w:rsidP="0072266A">
            <w:pPr>
              <w:spacing w:after="0" w:line="240" w:lineRule="auto"/>
              <w:rPr>
                <w:rFonts w:ascii="Times New Roman" w:eastAsia="Times New Roman" w:hAnsi="Times New Roman" w:cs="Times New Roman"/>
                <w:color w:val="000000"/>
                <w:sz w:val="24"/>
                <w:szCs w:val="24"/>
              </w:rPr>
            </w:pPr>
          </w:p>
        </w:tc>
        <w:tc>
          <w:tcPr>
            <w:tcW w:w="1482" w:type="dxa"/>
            <w:tcBorders>
              <w:top w:val="nil"/>
              <w:left w:val="nil"/>
              <w:bottom w:val="nil"/>
              <w:right w:val="nil"/>
            </w:tcBorders>
            <w:shd w:val="clear" w:color="auto" w:fill="auto"/>
            <w:noWrap/>
            <w:vAlign w:val="bottom"/>
            <w:hideMark/>
          </w:tcPr>
          <w:p w14:paraId="330C5F80" w14:textId="77777777" w:rsidR="0072266A" w:rsidRPr="00737DBE" w:rsidRDefault="0072266A" w:rsidP="0072266A">
            <w:pPr>
              <w:spacing w:after="0" w:line="240" w:lineRule="auto"/>
              <w:jc w:val="right"/>
              <w:rPr>
                <w:rFonts w:ascii="Times New Roman" w:eastAsia="Times New Roman" w:hAnsi="Times New Roman" w:cs="Times New Roman"/>
                <w:sz w:val="24"/>
                <w:szCs w:val="24"/>
              </w:rPr>
            </w:pPr>
          </w:p>
        </w:tc>
        <w:tc>
          <w:tcPr>
            <w:tcW w:w="1482" w:type="dxa"/>
            <w:tcBorders>
              <w:top w:val="nil"/>
              <w:left w:val="nil"/>
              <w:bottom w:val="nil"/>
              <w:right w:val="nil"/>
            </w:tcBorders>
            <w:shd w:val="clear" w:color="auto" w:fill="auto"/>
            <w:noWrap/>
            <w:vAlign w:val="bottom"/>
            <w:hideMark/>
          </w:tcPr>
          <w:p w14:paraId="7CB8893D" w14:textId="77777777" w:rsidR="0072266A" w:rsidRPr="00737DBE" w:rsidRDefault="0072266A" w:rsidP="0072266A">
            <w:pPr>
              <w:spacing w:after="0" w:line="240" w:lineRule="auto"/>
              <w:jc w:val="right"/>
              <w:rPr>
                <w:rFonts w:ascii="Times New Roman" w:eastAsia="Times New Roman" w:hAnsi="Times New Roman" w:cs="Times New Roman"/>
                <w:sz w:val="24"/>
                <w:szCs w:val="24"/>
              </w:rPr>
            </w:pPr>
          </w:p>
        </w:tc>
        <w:tc>
          <w:tcPr>
            <w:tcW w:w="1482" w:type="dxa"/>
            <w:tcBorders>
              <w:top w:val="nil"/>
              <w:left w:val="nil"/>
              <w:bottom w:val="nil"/>
              <w:right w:val="nil"/>
            </w:tcBorders>
            <w:shd w:val="clear" w:color="auto" w:fill="auto"/>
            <w:noWrap/>
            <w:vAlign w:val="bottom"/>
            <w:hideMark/>
          </w:tcPr>
          <w:p w14:paraId="4E75DDE6" w14:textId="77777777" w:rsidR="0072266A" w:rsidRPr="00737DBE" w:rsidRDefault="0072266A" w:rsidP="0072266A">
            <w:pPr>
              <w:spacing w:after="0" w:line="240" w:lineRule="auto"/>
              <w:jc w:val="right"/>
              <w:rPr>
                <w:rFonts w:ascii="Times New Roman" w:eastAsia="Times New Roman" w:hAnsi="Times New Roman" w:cs="Times New Roman"/>
                <w:sz w:val="24"/>
                <w:szCs w:val="24"/>
              </w:rPr>
            </w:pPr>
          </w:p>
        </w:tc>
      </w:tr>
      <w:tr w:rsidR="0072266A" w:rsidRPr="00293F92" w14:paraId="011B88CF" w14:textId="77777777" w:rsidTr="00C059D2">
        <w:trPr>
          <w:trHeight w:val="300"/>
        </w:trPr>
        <w:tc>
          <w:tcPr>
            <w:tcW w:w="2734" w:type="dxa"/>
            <w:tcBorders>
              <w:top w:val="nil"/>
              <w:left w:val="nil"/>
              <w:bottom w:val="nil"/>
              <w:right w:val="nil"/>
            </w:tcBorders>
            <w:shd w:val="clear" w:color="auto" w:fill="auto"/>
            <w:noWrap/>
            <w:vAlign w:val="bottom"/>
            <w:hideMark/>
          </w:tcPr>
          <w:p w14:paraId="0305E65E" w14:textId="77777777" w:rsidR="0072266A" w:rsidRPr="00D724E7" w:rsidRDefault="0072266A" w:rsidP="0072266A">
            <w:pPr>
              <w:spacing w:after="0" w:line="240" w:lineRule="auto"/>
              <w:rPr>
                <w:rFonts w:ascii="Times New Roman" w:eastAsia="Times New Roman" w:hAnsi="Times New Roman" w:cs="Times New Roman"/>
                <w:color w:val="000000"/>
                <w:sz w:val="24"/>
                <w:szCs w:val="24"/>
              </w:rPr>
            </w:pPr>
            <w:r w:rsidRPr="00D724E7">
              <w:rPr>
                <w:rFonts w:ascii="Times New Roman" w:eastAsia="Times New Roman" w:hAnsi="Times New Roman" w:cs="Times New Roman"/>
                <w:color w:val="000000"/>
                <w:sz w:val="24"/>
                <w:szCs w:val="24"/>
              </w:rPr>
              <w:t>Current Liabilities</w:t>
            </w:r>
          </w:p>
        </w:tc>
        <w:tc>
          <w:tcPr>
            <w:tcW w:w="1482" w:type="dxa"/>
            <w:tcBorders>
              <w:top w:val="nil"/>
              <w:left w:val="nil"/>
              <w:bottom w:val="nil"/>
              <w:right w:val="nil"/>
            </w:tcBorders>
            <w:shd w:val="clear" w:color="auto" w:fill="auto"/>
            <w:noWrap/>
            <w:vAlign w:val="bottom"/>
            <w:hideMark/>
          </w:tcPr>
          <w:p w14:paraId="1463572D" w14:textId="438F6332" w:rsidR="0072266A" w:rsidRPr="00737DBE" w:rsidRDefault="0072266A"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1</w:t>
            </w:r>
            <w:r w:rsidR="00D724E7" w:rsidRPr="00737DBE">
              <w:rPr>
                <w:rFonts w:ascii="Times New Roman" w:eastAsia="Times New Roman" w:hAnsi="Times New Roman" w:cs="Times New Roman"/>
                <w:color w:val="000000"/>
                <w:sz w:val="24"/>
                <w:szCs w:val="24"/>
              </w:rPr>
              <w:t>,</w:t>
            </w:r>
            <w:r w:rsidR="00737DBE" w:rsidRPr="00737DBE">
              <w:rPr>
                <w:rFonts w:ascii="Times New Roman" w:eastAsia="Times New Roman" w:hAnsi="Times New Roman" w:cs="Times New Roman"/>
                <w:color w:val="000000"/>
                <w:sz w:val="24"/>
                <w:szCs w:val="24"/>
              </w:rPr>
              <w:t>5</w:t>
            </w:r>
            <w:r w:rsidR="00D724E7" w:rsidRPr="00737DBE">
              <w:rPr>
                <w:rFonts w:ascii="Times New Roman" w:eastAsia="Times New Roman" w:hAnsi="Times New Roman" w:cs="Times New Roman"/>
                <w:color w:val="000000"/>
                <w:sz w:val="24"/>
                <w:szCs w:val="24"/>
              </w:rPr>
              <w:t>0</w:t>
            </w:r>
            <w:r w:rsidR="00BC2CCA" w:rsidRPr="00737DBE">
              <w:rPr>
                <w:rFonts w:ascii="Times New Roman" w:eastAsia="Times New Roman" w:hAnsi="Times New Roman" w:cs="Times New Roman"/>
                <w:color w:val="000000"/>
                <w:sz w:val="24"/>
                <w:szCs w:val="24"/>
              </w:rPr>
              <w:t>0</w:t>
            </w:r>
            <w:r w:rsidRPr="00737DBE">
              <w:rPr>
                <w:rFonts w:ascii="Times New Roman" w:eastAsia="Times New Roman" w:hAnsi="Times New Roman" w:cs="Times New Roman"/>
                <w:color w:val="000000"/>
                <w:sz w:val="24"/>
                <w:szCs w:val="24"/>
              </w:rPr>
              <w:t xml:space="preserve">,000 </w:t>
            </w:r>
          </w:p>
        </w:tc>
        <w:tc>
          <w:tcPr>
            <w:tcW w:w="1482" w:type="dxa"/>
            <w:tcBorders>
              <w:top w:val="nil"/>
              <w:left w:val="nil"/>
              <w:bottom w:val="nil"/>
              <w:right w:val="nil"/>
            </w:tcBorders>
            <w:shd w:val="clear" w:color="auto" w:fill="auto"/>
            <w:noWrap/>
            <w:vAlign w:val="bottom"/>
            <w:hideMark/>
          </w:tcPr>
          <w:p w14:paraId="42142793" w14:textId="627B9D97" w:rsidR="0072266A" w:rsidRPr="00737DBE" w:rsidRDefault="0072266A"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1,</w:t>
            </w:r>
            <w:r w:rsidR="00D724E7" w:rsidRPr="00737DBE">
              <w:rPr>
                <w:rFonts w:ascii="Times New Roman" w:eastAsia="Times New Roman" w:hAnsi="Times New Roman" w:cs="Times New Roman"/>
                <w:color w:val="000000"/>
                <w:sz w:val="24"/>
                <w:szCs w:val="24"/>
              </w:rPr>
              <w:t>50</w:t>
            </w:r>
            <w:r w:rsidR="00BC2CCA" w:rsidRPr="00737DBE">
              <w:rPr>
                <w:rFonts w:ascii="Times New Roman" w:eastAsia="Times New Roman" w:hAnsi="Times New Roman" w:cs="Times New Roman"/>
                <w:color w:val="000000"/>
                <w:sz w:val="24"/>
                <w:szCs w:val="24"/>
              </w:rPr>
              <w:t>0</w:t>
            </w:r>
            <w:r w:rsidRPr="00737DBE">
              <w:rPr>
                <w:rFonts w:ascii="Times New Roman" w:eastAsia="Times New Roman" w:hAnsi="Times New Roman" w:cs="Times New Roman"/>
                <w:color w:val="000000"/>
                <w:sz w:val="24"/>
                <w:szCs w:val="24"/>
              </w:rPr>
              <w:t xml:space="preserve">,000 </w:t>
            </w:r>
          </w:p>
        </w:tc>
        <w:tc>
          <w:tcPr>
            <w:tcW w:w="1482" w:type="dxa"/>
            <w:tcBorders>
              <w:top w:val="nil"/>
              <w:left w:val="nil"/>
              <w:bottom w:val="nil"/>
              <w:right w:val="nil"/>
            </w:tcBorders>
            <w:shd w:val="clear" w:color="auto" w:fill="auto"/>
            <w:noWrap/>
            <w:vAlign w:val="bottom"/>
            <w:hideMark/>
          </w:tcPr>
          <w:p w14:paraId="1A3F1529" w14:textId="595F3836" w:rsidR="0072266A" w:rsidRPr="00737DBE" w:rsidRDefault="0072266A" w:rsidP="0072266A">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C059D2" w:rsidRPr="00737DBE">
              <w:rPr>
                <w:rFonts w:ascii="Times New Roman" w:eastAsia="Times New Roman" w:hAnsi="Times New Roman" w:cs="Times New Roman"/>
                <w:color w:val="000000"/>
                <w:sz w:val="24"/>
                <w:szCs w:val="24"/>
              </w:rPr>
              <w:t xml:space="preserve">    1,</w:t>
            </w:r>
            <w:r w:rsidR="00D724E7" w:rsidRPr="00737DBE">
              <w:rPr>
                <w:rFonts w:ascii="Times New Roman" w:eastAsia="Times New Roman" w:hAnsi="Times New Roman" w:cs="Times New Roman"/>
                <w:color w:val="000000"/>
                <w:sz w:val="24"/>
                <w:szCs w:val="24"/>
              </w:rPr>
              <w:t>50</w:t>
            </w:r>
            <w:r w:rsidR="00BC2CCA" w:rsidRPr="00737DBE">
              <w:rPr>
                <w:rFonts w:ascii="Times New Roman" w:eastAsia="Times New Roman" w:hAnsi="Times New Roman" w:cs="Times New Roman"/>
                <w:color w:val="000000"/>
                <w:sz w:val="24"/>
                <w:szCs w:val="24"/>
              </w:rPr>
              <w:t>0</w:t>
            </w:r>
            <w:r w:rsidRPr="00737DBE">
              <w:rPr>
                <w:rFonts w:ascii="Times New Roman" w:eastAsia="Times New Roman" w:hAnsi="Times New Roman" w:cs="Times New Roman"/>
                <w:color w:val="000000"/>
                <w:sz w:val="24"/>
                <w:szCs w:val="24"/>
              </w:rPr>
              <w:t xml:space="preserve">,000 </w:t>
            </w:r>
          </w:p>
        </w:tc>
      </w:tr>
      <w:tr w:rsidR="0072266A" w:rsidRPr="00293F92" w14:paraId="10016B03" w14:textId="77777777" w:rsidTr="00C059D2">
        <w:trPr>
          <w:trHeight w:val="300"/>
        </w:trPr>
        <w:tc>
          <w:tcPr>
            <w:tcW w:w="2734" w:type="dxa"/>
            <w:tcBorders>
              <w:top w:val="nil"/>
              <w:left w:val="nil"/>
              <w:bottom w:val="nil"/>
              <w:right w:val="nil"/>
            </w:tcBorders>
            <w:shd w:val="clear" w:color="auto" w:fill="auto"/>
            <w:noWrap/>
            <w:vAlign w:val="bottom"/>
            <w:hideMark/>
          </w:tcPr>
          <w:p w14:paraId="185C288C" w14:textId="77777777" w:rsidR="0072266A" w:rsidRPr="00D724E7" w:rsidRDefault="0072266A" w:rsidP="0072266A">
            <w:pPr>
              <w:spacing w:after="0" w:line="240" w:lineRule="auto"/>
              <w:rPr>
                <w:rFonts w:ascii="Times New Roman" w:eastAsia="Times New Roman" w:hAnsi="Times New Roman" w:cs="Times New Roman"/>
                <w:color w:val="000000"/>
                <w:sz w:val="24"/>
                <w:szCs w:val="24"/>
              </w:rPr>
            </w:pPr>
            <w:r w:rsidRPr="00D724E7">
              <w:rPr>
                <w:rFonts w:ascii="Times New Roman" w:eastAsia="Times New Roman" w:hAnsi="Times New Roman" w:cs="Times New Roman"/>
                <w:color w:val="000000"/>
                <w:sz w:val="24"/>
                <w:szCs w:val="24"/>
              </w:rPr>
              <w:t>Long Term Liability</w:t>
            </w:r>
          </w:p>
        </w:tc>
        <w:tc>
          <w:tcPr>
            <w:tcW w:w="1482" w:type="dxa"/>
            <w:tcBorders>
              <w:top w:val="nil"/>
              <w:left w:val="nil"/>
              <w:bottom w:val="nil"/>
              <w:right w:val="nil"/>
            </w:tcBorders>
            <w:shd w:val="clear" w:color="auto" w:fill="auto"/>
            <w:noWrap/>
            <w:vAlign w:val="bottom"/>
            <w:hideMark/>
          </w:tcPr>
          <w:p w14:paraId="228C30F2" w14:textId="39C34B8F" w:rsidR="0072266A" w:rsidRPr="00737DBE" w:rsidRDefault="0072266A"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D724E7" w:rsidRPr="00737DBE">
              <w:rPr>
                <w:rFonts w:ascii="Times New Roman" w:eastAsia="Times New Roman" w:hAnsi="Times New Roman" w:cs="Times New Roman"/>
                <w:color w:val="000000"/>
                <w:sz w:val="24"/>
                <w:szCs w:val="24"/>
              </w:rPr>
              <w:t>6</w:t>
            </w:r>
            <w:r w:rsidR="00C059D2" w:rsidRPr="00737DBE">
              <w:rPr>
                <w:rFonts w:ascii="Times New Roman" w:eastAsia="Times New Roman" w:hAnsi="Times New Roman" w:cs="Times New Roman"/>
                <w:color w:val="000000"/>
                <w:sz w:val="24"/>
                <w:szCs w:val="24"/>
              </w:rPr>
              <w:t>,</w:t>
            </w:r>
            <w:r w:rsidR="00737DBE" w:rsidRPr="00737DBE">
              <w:rPr>
                <w:rFonts w:ascii="Times New Roman" w:eastAsia="Times New Roman" w:hAnsi="Times New Roman" w:cs="Times New Roman"/>
                <w:color w:val="000000"/>
                <w:sz w:val="24"/>
                <w:szCs w:val="24"/>
              </w:rPr>
              <w:t>300</w:t>
            </w:r>
            <w:r w:rsidR="00C059D2" w:rsidRPr="00737DBE">
              <w:rPr>
                <w:rFonts w:ascii="Times New Roman" w:eastAsia="Times New Roman" w:hAnsi="Times New Roman" w:cs="Times New Roman"/>
                <w:color w:val="000000"/>
                <w:sz w:val="24"/>
                <w:szCs w:val="24"/>
              </w:rPr>
              <w:t>,000</w:t>
            </w:r>
            <w:r w:rsidRPr="00737DBE">
              <w:rPr>
                <w:rFonts w:ascii="Times New Roman" w:eastAsia="Times New Roman" w:hAnsi="Times New Roman" w:cs="Times New Roman"/>
                <w:color w:val="000000"/>
                <w:sz w:val="24"/>
                <w:szCs w:val="24"/>
              </w:rPr>
              <w:t xml:space="preserve"> </w:t>
            </w:r>
          </w:p>
        </w:tc>
        <w:tc>
          <w:tcPr>
            <w:tcW w:w="1482" w:type="dxa"/>
            <w:tcBorders>
              <w:top w:val="nil"/>
              <w:left w:val="nil"/>
              <w:bottom w:val="nil"/>
              <w:right w:val="nil"/>
            </w:tcBorders>
            <w:shd w:val="clear" w:color="auto" w:fill="auto"/>
            <w:noWrap/>
            <w:vAlign w:val="bottom"/>
            <w:hideMark/>
          </w:tcPr>
          <w:p w14:paraId="773E67B9" w14:textId="03BF1052" w:rsidR="0072266A" w:rsidRPr="00737DBE" w:rsidRDefault="0072266A"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BC2CCA" w:rsidRPr="00737DBE">
              <w:rPr>
                <w:rFonts w:ascii="Times New Roman" w:eastAsia="Times New Roman" w:hAnsi="Times New Roman" w:cs="Times New Roman"/>
                <w:color w:val="000000"/>
                <w:sz w:val="24"/>
                <w:szCs w:val="24"/>
              </w:rPr>
              <w:t>5</w:t>
            </w:r>
            <w:r w:rsidR="00CB4119" w:rsidRPr="00737DBE">
              <w:rPr>
                <w:rFonts w:ascii="Times New Roman" w:eastAsia="Times New Roman" w:hAnsi="Times New Roman" w:cs="Times New Roman"/>
                <w:color w:val="000000"/>
                <w:sz w:val="24"/>
                <w:szCs w:val="24"/>
              </w:rPr>
              <w:t>,</w:t>
            </w:r>
            <w:r w:rsidR="00737DBE" w:rsidRPr="00737DBE">
              <w:rPr>
                <w:rFonts w:ascii="Times New Roman" w:eastAsia="Times New Roman" w:hAnsi="Times New Roman" w:cs="Times New Roman"/>
                <w:color w:val="000000"/>
                <w:sz w:val="24"/>
                <w:szCs w:val="24"/>
              </w:rPr>
              <w:t>100</w:t>
            </w:r>
            <w:r w:rsidR="00CB4119" w:rsidRPr="00737DBE">
              <w:rPr>
                <w:rFonts w:ascii="Times New Roman" w:eastAsia="Times New Roman" w:hAnsi="Times New Roman" w:cs="Times New Roman"/>
                <w:color w:val="000000"/>
                <w:sz w:val="24"/>
                <w:szCs w:val="24"/>
              </w:rPr>
              <w:t>,000</w:t>
            </w:r>
            <w:r w:rsidRPr="00737DBE">
              <w:rPr>
                <w:rFonts w:ascii="Times New Roman" w:eastAsia="Times New Roman" w:hAnsi="Times New Roman" w:cs="Times New Roman"/>
                <w:color w:val="000000"/>
                <w:sz w:val="24"/>
                <w:szCs w:val="24"/>
              </w:rPr>
              <w:t xml:space="preserve"> </w:t>
            </w:r>
          </w:p>
        </w:tc>
        <w:tc>
          <w:tcPr>
            <w:tcW w:w="1482" w:type="dxa"/>
            <w:tcBorders>
              <w:top w:val="nil"/>
              <w:left w:val="nil"/>
              <w:bottom w:val="nil"/>
              <w:right w:val="nil"/>
            </w:tcBorders>
            <w:shd w:val="clear" w:color="auto" w:fill="auto"/>
            <w:noWrap/>
            <w:vAlign w:val="bottom"/>
            <w:hideMark/>
          </w:tcPr>
          <w:p w14:paraId="301E286B" w14:textId="7A1B2006" w:rsidR="0072266A" w:rsidRPr="00737DBE" w:rsidRDefault="0072266A"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737DBE" w:rsidRPr="00737DBE">
              <w:rPr>
                <w:rFonts w:ascii="Times New Roman" w:eastAsia="Times New Roman" w:hAnsi="Times New Roman" w:cs="Times New Roman"/>
                <w:color w:val="000000"/>
                <w:sz w:val="24"/>
                <w:szCs w:val="24"/>
              </w:rPr>
              <w:t>3,900,</w:t>
            </w:r>
            <w:r w:rsidRPr="00737DBE">
              <w:rPr>
                <w:rFonts w:ascii="Times New Roman" w:eastAsia="Times New Roman" w:hAnsi="Times New Roman" w:cs="Times New Roman"/>
                <w:color w:val="000000"/>
                <w:sz w:val="24"/>
                <w:szCs w:val="24"/>
              </w:rPr>
              <w:t xml:space="preserve">000 </w:t>
            </w:r>
          </w:p>
        </w:tc>
      </w:tr>
      <w:tr w:rsidR="0072266A" w:rsidRPr="00293F92" w14:paraId="18567320" w14:textId="77777777" w:rsidTr="00C059D2">
        <w:trPr>
          <w:trHeight w:val="300"/>
        </w:trPr>
        <w:tc>
          <w:tcPr>
            <w:tcW w:w="2734" w:type="dxa"/>
            <w:tcBorders>
              <w:top w:val="nil"/>
              <w:left w:val="nil"/>
              <w:bottom w:val="nil"/>
              <w:right w:val="nil"/>
            </w:tcBorders>
            <w:shd w:val="clear" w:color="auto" w:fill="auto"/>
            <w:noWrap/>
            <w:vAlign w:val="bottom"/>
            <w:hideMark/>
          </w:tcPr>
          <w:p w14:paraId="21731946" w14:textId="77777777" w:rsidR="0072266A" w:rsidRPr="00D724E7" w:rsidRDefault="0072266A" w:rsidP="0072266A">
            <w:pPr>
              <w:spacing w:after="0" w:line="240" w:lineRule="auto"/>
              <w:rPr>
                <w:rFonts w:ascii="Times New Roman" w:eastAsia="Times New Roman" w:hAnsi="Times New Roman" w:cs="Times New Roman"/>
                <w:color w:val="000000"/>
                <w:sz w:val="24"/>
                <w:szCs w:val="24"/>
              </w:rPr>
            </w:pPr>
            <w:r w:rsidRPr="00D724E7">
              <w:rPr>
                <w:rFonts w:ascii="Times New Roman" w:eastAsia="Times New Roman" w:hAnsi="Times New Roman" w:cs="Times New Roman"/>
                <w:color w:val="000000"/>
                <w:sz w:val="24"/>
                <w:szCs w:val="24"/>
              </w:rPr>
              <w:t>Net Equity</w:t>
            </w:r>
          </w:p>
        </w:tc>
        <w:tc>
          <w:tcPr>
            <w:tcW w:w="1482" w:type="dxa"/>
            <w:tcBorders>
              <w:top w:val="nil"/>
              <w:left w:val="nil"/>
              <w:bottom w:val="single" w:sz="4" w:space="0" w:color="auto"/>
              <w:right w:val="nil"/>
            </w:tcBorders>
            <w:shd w:val="clear" w:color="auto" w:fill="auto"/>
            <w:noWrap/>
            <w:vAlign w:val="bottom"/>
            <w:hideMark/>
          </w:tcPr>
          <w:p w14:paraId="579D5B55" w14:textId="7007250F" w:rsidR="0072266A" w:rsidRPr="00737DBE" w:rsidRDefault="0072266A"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C059D2" w:rsidRPr="00737DBE">
              <w:rPr>
                <w:rFonts w:ascii="Times New Roman" w:eastAsia="Times New Roman" w:hAnsi="Times New Roman" w:cs="Times New Roman"/>
                <w:color w:val="000000"/>
                <w:sz w:val="24"/>
                <w:szCs w:val="24"/>
              </w:rPr>
              <w:t xml:space="preserve">     </w:t>
            </w:r>
            <w:r w:rsidR="00BC2CCA" w:rsidRPr="00737DBE">
              <w:rPr>
                <w:rFonts w:ascii="Times New Roman" w:eastAsia="Times New Roman" w:hAnsi="Times New Roman" w:cs="Times New Roman"/>
                <w:color w:val="000000"/>
                <w:sz w:val="24"/>
                <w:szCs w:val="24"/>
              </w:rPr>
              <w:t>1</w:t>
            </w:r>
            <w:r w:rsidR="00737DBE" w:rsidRPr="00737DBE">
              <w:rPr>
                <w:rFonts w:ascii="Times New Roman" w:eastAsia="Times New Roman" w:hAnsi="Times New Roman" w:cs="Times New Roman"/>
                <w:color w:val="000000"/>
                <w:sz w:val="24"/>
                <w:szCs w:val="24"/>
              </w:rPr>
              <w:t>3,950</w:t>
            </w:r>
            <w:r w:rsidRPr="00737DBE">
              <w:rPr>
                <w:rFonts w:ascii="Times New Roman" w:eastAsia="Times New Roman" w:hAnsi="Times New Roman" w:cs="Times New Roman"/>
                <w:color w:val="000000"/>
                <w:sz w:val="24"/>
                <w:szCs w:val="24"/>
              </w:rPr>
              <w:t xml:space="preserve">,000 </w:t>
            </w:r>
          </w:p>
        </w:tc>
        <w:tc>
          <w:tcPr>
            <w:tcW w:w="1482" w:type="dxa"/>
            <w:tcBorders>
              <w:top w:val="nil"/>
              <w:left w:val="nil"/>
              <w:bottom w:val="single" w:sz="4" w:space="0" w:color="auto"/>
              <w:right w:val="nil"/>
            </w:tcBorders>
            <w:shd w:val="clear" w:color="auto" w:fill="auto"/>
            <w:noWrap/>
            <w:vAlign w:val="bottom"/>
            <w:hideMark/>
          </w:tcPr>
          <w:p w14:paraId="4AC5C1F7" w14:textId="773D6A38" w:rsidR="0072266A" w:rsidRPr="00737DBE" w:rsidRDefault="0072266A"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D724E7" w:rsidRPr="00737DBE">
              <w:rPr>
                <w:rFonts w:ascii="Times New Roman" w:eastAsia="Times New Roman" w:hAnsi="Times New Roman" w:cs="Times New Roman"/>
                <w:color w:val="000000"/>
                <w:sz w:val="24"/>
                <w:szCs w:val="24"/>
              </w:rPr>
              <w:t>1</w:t>
            </w:r>
            <w:r w:rsidR="00737DBE" w:rsidRPr="00737DBE">
              <w:rPr>
                <w:rFonts w:ascii="Times New Roman" w:eastAsia="Times New Roman" w:hAnsi="Times New Roman" w:cs="Times New Roman"/>
                <w:color w:val="000000"/>
                <w:sz w:val="24"/>
                <w:szCs w:val="24"/>
              </w:rPr>
              <w:t>3</w:t>
            </w:r>
            <w:r w:rsidR="004F5014" w:rsidRPr="00737DBE">
              <w:rPr>
                <w:rFonts w:ascii="Times New Roman" w:eastAsia="Times New Roman" w:hAnsi="Times New Roman" w:cs="Times New Roman"/>
                <w:color w:val="000000"/>
                <w:sz w:val="24"/>
                <w:szCs w:val="24"/>
              </w:rPr>
              <w:t>,</w:t>
            </w:r>
            <w:r w:rsidR="00737DBE" w:rsidRPr="00737DBE">
              <w:rPr>
                <w:rFonts w:ascii="Times New Roman" w:eastAsia="Times New Roman" w:hAnsi="Times New Roman" w:cs="Times New Roman"/>
                <w:color w:val="000000"/>
                <w:sz w:val="24"/>
                <w:szCs w:val="24"/>
              </w:rPr>
              <w:t>6</w:t>
            </w:r>
            <w:r w:rsidR="00D724E7" w:rsidRPr="00737DBE">
              <w:rPr>
                <w:rFonts w:ascii="Times New Roman" w:eastAsia="Times New Roman" w:hAnsi="Times New Roman" w:cs="Times New Roman"/>
                <w:color w:val="000000"/>
                <w:sz w:val="24"/>
                <w:szCs w:val="24"/>
              </w:rPr>
              <w:t>50</w:t>
            </w:r>
            <w:r w:rsidRPr="00737DBE">
              <w:rPr>
                <w:rFonts w:ascii="Times New Roman" w:eastAsia="Times New Roman" w:hAnsi="Times New Roman" w:cs="Times New Roman"/>
                <w:color w:val="000000"/>
                <w:sz w:val="24"/>
                <w:szCs w:val="24"/>
              </w:rPr>
              <w:t xml:space="preserve">,000 </w:t>
            </w:r>
          </w:p>
        </w:tc>
        <w:tc>
          <w:tcPr>
            <w:tcW w:w="1482" w:type="dxa"/>
            <w:tcBorders>
              <w:top w:val="nil"/>
              <w:left w:val="nil"/>
              <w:bottom w:val="single" w:sz="4" w:space="0" w:color="auto"/>
              <w:right w:val="nil"/>
            </w:tcBorders>
            <w:shd w:val="clear" w:color="auto" w:fill="auto"/>
            <w:noWrap/>
            <w:vAlign w:val="bottom"/>
            <w:hideMark/>
          </w:tcPr>
          <w:p w14:paraId="1FAF04C3" w14:textId="54655744" w:rsidR="0072266A" w:rsidRPr="00737DBE" w:rsidRDefault="0072266A"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D724E7" w:rsidRPr="00737DBE">
              <w:rPr>
                <w:rFonts w:ascii="Times New Roman" w:eastAsia="Times New Roman" w:hAnsi="Times New Roman" w:cs="Times New Roman"/>
                <w:color w:val="000000"/>
                <w:sz w:val="24"/>
                <w:szCs w:val="24"/>
              </w:rPr>
              <w:t>1</w:t>
            </w:r>
            <w:r w:rsidR="00737DBE" w:rsidRPr="00737DBE">
              <w:rPr>
                <w:rFonts w:ascii="Times New Roman" w:eastAsia="Times New Roman" w:hAnsi="Times New Roman" w:cs="Times New Roman"/>
                <w:color w:val="000000"/>
                <w:sz w:val="24"/>
                <w:szCs w:val="24"/>
              </w:rPr>
              <w:t>3</w:t>
            </w:r>
            <w:r w:rsidRPr="00737DBE">
              <w:rPr>
                <w:rFonts w:ascii="Times New Roman" w:eastAsia="Times New Roman" w:hAnsi="Times New Roman" w:cs="Times New Roman"/>
                <w:color w:val="000000"/>
                <w:sz w:val="24"/>
                <w:szCs w:val="24"/>
              </w:rPr>
              <w:t>,</w:t>
            </w:r>
            <w:r w:rsidR="00737DBE" w:rsidRPr="00737DBE">
              <w:rPr>
                <w:rFonts w:ascii="Times New Roman" w:eastAsia="Times New Roman" w:hAnsi="Times New Roman" w:cs="Times New Roman"/>
                <w:color w:val="000000"/>
                <w:sz w:val="24"/>
                <w:szCs w:val="24"/>
              </w:rPr>
              <w:t>2</w:t>
            </w:r>
            <w:r w:rsidR="00BF275D" w:rsidRPr="00737DBE">
              <w:rPr>
                <w:rFonts w:ascii="Times New Roman" w:eastAsia="Times New Roman" w:hAnsi="Times New Roman" w:cs="Times New Roman"/>
                <w:color w:val="000000"/>
                <w:sz w:val="24"/>
                <w:szCs w:val="24"/>
              </w:rPr>
              <w:t>5</w:t>
            </w:r>
            <w:r w:rsidR="00BC2CCA" w:rsidRPr="00737DBE">
              <w:rPr>
                <w:rFonts w:ascii="Times New Roman" w:eastAsia="Times New Roman" w:hAnsi="Times New Roman" w:cs="Times New Roman"/>
                <w:color w:val="000000"/>
                <w:sz w:val="24"/>
                <w:szCs w:val="24"/>
              </w:rPr>
              <w:t>0</w:t>
            </w:r>
            <w:r w:rsidRPr="00737DBE">
              <w:rPr>
                <w:rFonts w:ascii="Times New Roman" w:eastAsia="Times New Roman" w:hAnsi="Times New Roman" w:cs="Times New Roman"/>
                <w:color w:val="000000"/>
                <w:sz w:val="24"/>
                <w:szCs w:val="24"/>
              </w:rPr>
              <w:t>,</w:t>
            </w:r>
            <w:r w:rsidR="00CB4119" w:rsidRPr="00737DBE">
              <w:rPr>
                <w:rFonts w:ascii="Times New Roman" w:eastAsia="Times New Roman" w:hAnsi="Times New Roman" w:cs="Times New Roman"/>
                <w:color w:val="000000"/>
                <w:sz w:val="24"/>
                <w:szCs w:val="24"/>
              </w:rPr>
              <w:t>0</w:t>
            </w:r>
            <w:r w:rsidRPr="00737DBE">
              <w:rPr>
                <w:rFonts w:ascii="Times New Roman" w:eastAsia="Times New Roman" w:hAnsi="Times New Roman" w:cs="Times New Roman"/>
                <w:color w:val="000000"/>
                <w:sz w:val="24"/>
                <w:szCs w:val="24"/>
              </w:rPr>
              <w:t xml:space="preserve">00 </w:t>
            </w:r>
          </w:p>
        </w:tc>
      </w:tr>
      <w:tr w:rsidR="0072266A" w:rsidRPr="00293F92" w14:paraId="58603582" w14:textId="77777777" w:rsidTr="00C059D2">
        <w:trPr>
          <w:trHeight w:val="300"/>
        </w:trPr>
        <w:tc>
          <w:tcPr>
            <w:tcW w:w="2734" w:type="dxa"/>
            <w:tcBorders>
              <w:top w:val="nil"/>
              <w:left w:val="nil"/>
              <w:bottom w:val="nil"/>
              <w:right w:val="nil"/>
            </w:tcBorders>
            <w:shd w:val="clear" w:color="auto" w:fill="auto"/>
            <w:noWrap/>
            <w:vAlign w:val="bottom"/>
            <w:hideMark/>
          </w:tcPr>
          <w:p w14:paraId="478B54A3" w14:textId="77777777" w:rsidR="0072266A" w:rsidRPr="00D724E7" w:rsidRDefault="0072266A" w:rsidP="0072266A">
            <w:pPr>
              <w:spacing w:after="0" w:line="240" w:lineRule="auto"/>
              <w:rPr>
                <w:rFonts w:ascii="Times New Roman" w:eastAsia="Times New Roman" w:hAnsi="Times New Roman" w:cs="Times New Roman"/>
                <w:color w:val="000000"/>
                <w:sz w:val="24"/>
                <w:szCs w:val="24"/>
              </w:rPr>
            </w:pPr>
            <w:r w:rsidRPr="00D724E7">
              <w:rPr>
                <w:rFonts w:ascii="Times New Roman" w:eastAsia="Times New Roman" w:hAnsi="Times New Roman" w:cs="Times New Roman"/>
                <w:color w:val="000000"/>
                <w:sz w:val="24"/>
                <w:szCs w:val="24"/>
              </w:rPr>
              <w:t>Total Liabilities &amp; Equity</w:t>
            </w:r>
          </w:p>
        </w:tc>
        <w:tc>
          <w:tcPr>
            <w:tcW w:w="1482" w:type="dxa"/>
            <w:tcBorders>
              <w:top w:val="nil"/>
              <w:left w:val="nil"/>
              <w:bottom w:val="nil"/>
              <w:right w:val="nil"/>
            </w:tcBorders>
            <w:shd w:val="clear" w:color="auto" w:fill="auto"/>
            <w:noWrap/>
            <w:vAlign w:val="bottom"/>
            <w:hideMark/>
          </w:tcPr>
          <w:p w14:paraId="473ACC07" w14:textId="58C04996" w:rsidR="0072266A" w:rsidRPr="00737DBE" w:rsidRDefault="0072266A"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C059D2" w:rsidRPr="00737DBE">
              <w:rPr>
                <w:rFonts w:ascii="Times New Roman" w:eastAsia="Times New Roman" w:hAnsi="Times New Roman" w:cs="Times New Roman"/>
                <w:color w:val="000000"/>
                <w:sz w:val="24"/>
                <w:szCs w:val="24"/>
              </w:rPr>
              <w:t>2</w:t>
            </w:r>
            <w:r w:rsidR="00737DBE" w:rsidRPr="00737DBE">
              <w:rPr>
                <w:rFonts w:ascii="Times New Roman" w:eastAsia="Times New Roman" w:hAnsi="Times New Roman" w:cs="Times New Roman"/>
                <w:color w:val="000000"/>
                <w:sz w:val="24"/>
                <w:szCs w:val="24"/>
              </w:rPr>
              <w:t>1</w:t>
            </w:r>
            <w:r w:rsidRPr="00737DBE">
              <w:rPr>
                <w:rFonts w:ascii="Times New Roman" w:eastAsia="Times New Roman" w:hAnsi="Times New Roman" w:cs="Times New Roman"/>
                <w:color w:val="000000"/>
                <w:sz w:val="24"/>
                <w:szCs w:val="24"/>
              </w:rPr>
              <w:t>,</w:t>
            </w:r>
            <w:r w:rsidR="00737DBE" w:rsidRPr="00737DBE">
              <w:rPr>
                <w:rFonts w:ascii="Times New Roman" w:eastAsia="Times New Roman" w:hAnsi="Times New Roman" w:cs="Times New Roman"/>
                <w:color w:val="000000"/>
                <w:sz w:val="24"/>
                <w:szCs w:val="24"/>
              </w:rPr>
              <w:t>750</w:t>
            </w:r>
            <w:r w:rsidRPr="00737DBE">
              <w:rPr>
                <w:rFonts w:ascii="Times New Roman" w:eastAsia="Times New Roman" w:hAnsi="Times New Roman" w:cs="Times New Roman"/>
                <w:color w:val="000000"/>
                <w:sz w:val="24"/>
                <w:szCs w:val="24"/>
              </w:rPr>
              <w:t xml:space="preserve">,000 </w:t>
            </w:r>
          </w:p>
        </w:tc>
        <w:tc>
          <w:tcPr>
            <w:tcW w:w="1482" w:type="dxa"/>
            <w:tcBorders>
              <w:top w:val="nil"/>
              <w:left w:val="nil"/>
              <w:bottom w:val="nil"/>
              <w:right w:val="nil"/>
            </w:tcBorders>
            <w:shd w:val="clear" w:color="auto" w:fill="auto"/>
            <w:noWrap/>
            <w:vAlign w:val="bottom"/>
            <w:hideMark/>
          </w:tcPr>
          <w:p w14:paraId="35B20814" w14:textId="28D27620" w:rsidR="0072266A" w:rsidRPr="00737DBE" w:rsidRDefault="004F5014"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7A7C47" w:rsidRPr="00737DBE">
              <w:rPr>
                <w:rFonts w:ascii="Times New Roman" w:eastAsia="Times New Roman" w:hAnsi="Times New Roman" w:cs="Times New Roman"/>
                <w:color w:val="000000"/>
                <w:sz w:val="24"/>
                <w:szCs w:val="24"/>
              </w:rPr>
              <w:t>2</w:t>
            </w:r>
            <w:r w:rsidR="00737DBE" w:rsidRPr="00737DBE">
              <w:rPr>
                <w:rFonts w:ascii="Times New Roman" w:eastAsia="Times New Roman" w:hAnsi="Times New Roman" w:cs="Times New Roman"/>
                <w:color w:val="000000"/>
                <w:sz w:val="24"/>
                <w:szCs w:val="24"/>
              </w:rPr>
              <w:t>0</w:t>
            </w:r>
            <w:r w:rsidRPr="00737DBE">
              <w:rPr>
                <w:rFonts w:ascii="Times New Roman" w:eastAsia="Times New Roman" w:hAnsi="Times New Roman" w:cs="Times New Roman"/>
                <w:color w:val="000000"/>
                <w:sz w:val="24"/>
                <w:szCs w:val="24"/>
              </w:rPr>
              <w:t>,</w:t>
            </w:r>
            <w:r w:rsidR="00737DBE" w:rsidRPr="00737DBE">
              <w:rPr>
                <w:rFonts w:ascii="Times New Roman" w:eastAsia="Times New Roman" w:hAnsi="Times New Roman" w:cs="Times New Roman"/>
                <w:color w:val="000000"/>
                <w:sz w:val="24"/>
                <w:szCs w:val="24"/>
              </w:rPr>
              <w:t>250</w:t>
            </w:r>
            <w:r w:rsidR="0072266A" w:rsidRPr="00737DBE">
              <w:rPr>
                <w:rFonts w:ascii="Times New Roman" w:eastAsia="Times New Roman" w:hAnsi="Times New Roman" w:cs="Times New Roman"/>
                <w:color w:val="000000"/>
                <w:sz w:val="24"/>
                <w:szCs w:val="24"/>
              </w:rPr>
              <w:t xml:space="preserve">,000 </w:t>
            </w:r>
          </w:p>
        </w:tc>
        <w:tc>
          <w:tcPr>
            <w:tcW w:w="1482" w:type="dxa"/>
            <w:tcBorders>
              <w:top w:val="nil"/>
              <w:left w:val="nil"/>
              <w:bottom w:val="nil"/>
              <w:right w:val="nil"/>
            </w:tcBorders>
            <w:shd w:val="clear" w:color="auto" w:fill="auto"/>
            <w:noWrap/>
            <w:vAlign w:val="bottom"/>
            <w:hideMark/>
          </w:tcPr>
          <w:p w14:paraId="09ECB173" w14:textId="2CA1F005" w:rsidR="0072266A" w:rsidRPr="00737DBE" w:rsidRDefault="0072266A" w:rsidP="00C059D2">
            <w:pPr>
              <w:spacing w:after="0" w:line="240" w:lineRule="auto"/>
              <w:jc w:val="right"/>
              <w:rPr>
                <w:rFonts w:ascii="Times New Roman" w:eastAsia="Times New Roman" w:hAnsi="Times New Roman" w:cs="Times New Roman"/>
                <w:color w:val="000000"/>
                <w:sz w:val="24"/>
                <w:szCs w:val="24"/>
              </w:rPr>
            </w:pPr>
            <w:r w:rsidRPr="00737DBE">
              <w:rPr>
                <w:rFonts w:ascii="Times New Roman" w:eastAsia="Times New Roman" w:hAnsi="Times New Roman" w:cs="Times New Roman"/>
                <w:color w:val="000000"/>
                <w:sz w:val="24"/>
                <w:szCs w:val="24"/>
              </w:rPr>
              <w:t xml:space="preserve">   </w:t>
            </w:r>
            <w:r w:rsidR="00737DBE" w:rsidRPr="00737DBE">
              <w:rPr>
                <w:rFonts w:ascii="Times New Roman" w:eastAsia="Times New Roman" w:hAnsi="Times New Roman" w:cs="Times New Roman"/>
                <w:color w:val="000000"/>
                <w:sz w:val="24"/>
                <w:szCs w:val="24"/>
              </w:rPr>
              <w:t>18,650</w:t>
            </w:r>
            <w:r w:rsidRPr="00737DBE">
              <w:rPr>
                <w:rFonts w:ascii="Times New Roman" w:eastAsia="Times New Roman" w:hAnsi="Times New Roman" w:cs="Times New Roman"/>
                <w:color w:val="000000"/>
                <w:sz w:val="24"/>
                <w:szCs w:val="24"/>
              </w:rPr>
              <w:t>,</w:t>
            </w:r>
            <w:r w:rsidR="00CB4119" w:rsidRPr="00737DBE">
              <w:rPr>
                <w:rFonts w:ascii="Times New Roman" w:eastAsia="Times New Roman" w:hAnsi="Times New Roman" w:cs="Times New Roman"/>
                <w:color w:val="000000"/>
                <w:sz w:val="24"/>
                <w:szCs w:val="24"/>
              </w:rPr>
              <w:t>0</w:t>
            </w:r>
            <w:r w:rsidRPr="00737DBE">
              <w:rPr>
                <w:rFonts w:ascii="Times New Roman" w:eastAsia="Times New Roman" w:hAnsi="Times New Roman" w:cs="Times New Roman"/>
                <w:color w:val="000000"/>
                <w:sz w:val="24"/>
                <w:szCs w:val="24"/>
              </w:rPr>
              <w:t xml:space="preserve">00 </w:t>
            </w:r>
          </w:p>
        </w:tc>
      </w:tr>
    </w:tbl>
    <w:p w14:paraId="7DF1A6EC" w14:textId="77777777" w:rsidR="00354EC0" w:rsidRDefault="00354EC0" w:rsidP="00796349">
      <w:pPr>
        <w:rPr>
          <w:rFonts w:ascii="Times New Roman" w:hAnsi="Times New Roman" w:cs="Times New Roman"/>
          <w:b/>
          <w:sz w:val="24"/>
          <w:szCs w:val="24"/>
        </w:rPr>
      </w:pPr>
      <w:bookmarkStart w:id="0" w:name="OLE_LINK1"/>
    </w:p>
    <w:p w14:paraId="4BDFFEB2" w14:textId="77777777" w:rsidR="00796349" w:rsidRPr="00796349" w:rsidRDefault="00796349" w:rsidP="00796349">
      <w:pPr>
        <w:rPr>
          <w:rFonts w:ascii="Times New Roman" w:hAnsi="Times New Roman" w:cs="Times New Roman"/>
          <w:b/>
          <w:sz w:val="24"/>
          <w:szCs w:val="24"/>
        </w:rPr>
      </w:pPr>
      <w:r w:rsidRPr="00796349">
        <w:rPr>
          <w:rFonts w:ascii="Times New Roman" w:hAnsi="Times New Roman" w:cs="Times New Roman"/>
          <w:b/>
          <w:sz w:val="24"/>
          <w:szCs w:val="24"/>
        </w:rPr>
        <w:t>Employment Data</w:t>
      </w:r>
    </w:p>
    <w:p w14:paraId="6B3ACF6C" w14:textId="1FF39895" w:rsidR="00796349" w:rsidRPr="00796349" w:rsidRDefault="00796349" w:rsidP="00796349">
      <w:pPr>
        <w:rPr>
          <w:rFonts w:ascii="Times New Roman" w:hAnsi="Times New Roman" w:cs="Times New Roman"/>
          <w:color w:val="000000"/>
          <w:sz w:val="24"/>
          <w:szCs w:val="24"/>
          <w14:cntxtAlts/>
        </w:rPr>
      </w:pPr>
      <w:r w:rsidRPr="00796349">
        <w:rPr>
          <w:rFonts w:ascii="Times New Roman" w:hAnsi="Times New Roman" w:cs="Times New Roman"/>
          <w:color w:val="000000"/>
          <w:sz w:val="24"/>
          <w:szCs w:val="24"/>
          <w14:cntxtAlts/>
        </w:rPr>
        <w:t>Indian Head</w:t>
      </w:r>
      <w:r w:rsidR="00AD3590">
        <w:rPr>
          <w:rFonts w:ascii="Times New Roman" w:hAnsi="Times New Roman" w:cs="Times New Roman"/>
          <w:color w:val="000000"/>
          <w:sz w:val="24"/>
          <w:szCs w:val="24"/>
          <w14:cntxtAlts/>
        </w:rPr>
        <w:t xml:space="preserve"> </w:t>
      </w:r>
      <w:r w:rsidR="00E63F5D">
        <w:rPr>
          <w:rFonts w:ascii="Times New Roman" w:hAnsi="Times New Roman" w:cs="Times New Roman"/>
          <w:color w:val="000000"/>
          <w:sz w:val="24"/>
          <w:szCs w:val="24"/>
          <w14:cntxtAlts/>
        </w:rPr>
        <w:t>Casino</w:t>
      </w:r>
      <w:r w:rsidR="00AD3590">
        <w:rPr>
          <w:rFonts w:ascii="Times New Roman" w:hAnsi="Times New Roman" w:cs="Times New Roman"/>
          <w:color w:val="000000"/>
          <w:sz w:val="24"/>
          <w:szCs w:val="24"/>
          <w14:cntxtAlts/>
        </w:rPr>
        <w:t xml:space="preserve"> Enterprises </w:t>
      </w:r>
      <w:r w:rsidRPr="00796349">
        <w:rPr>
          <w:rFonts w:ascii="Times New Roman" w:hAnsi="Times New Roman" w:cs="Times New Roman"/>
          <w:color w:val="000000"/>
          <w:sz w:val="24"/>
          <w:szCs w:val="24"/>
          <w14:cntxtAlts/>
        </w:rPr>
        <w:t xml:space="preserve">promotes tribal member employment by giving preference to </w:t>
      </w:r>
      <w:r w:rsidR="00AB4ABC" w:rsidRPr="00796349">
        <w:rPr>
          <w:rFonts w:ascii="Times New Roman" w:hAnsi="Times New Roman" w:cs="Times New Roman"/>
          <w:color w:val="000000"/>
          <w:sz w:val="24"/>
          <w:szCs w:val="24"/>
          <w14:cntxtAlts/>
        </w:rPr>
        <w:t>those applicants</w:t>
      </w:r>
      <w:r w:rsidRPr="00796349">
        <w:rPr>
          <w:rFonts w:ascii="Times New Roman" w:hAnsi="Times New Roman" w:cs="Times New Roman"/>
          <w:color w:val="000000"/>
          <w:sz w:val="24"/>
          <w:szCs w:val="24"/>
          <w14:cntxtAlts/>
        </w:rPr>
        <w:t xml:space="preserve"> who are tribal members, provided they meet the minimum qualifications needed to fill the vacant position.  It is our stance that we develop, </w:t>
      </w:r>
      <w:r w:rsidR="00E63F5D" w:rsidRPr="00796349">
        <w:rPr>
          <w:rFonts w:ascii="Times New Roman" w:hAnsi="Times New Roman" w:cs="Times New Roman"/>
          <w:color w:val="000000"/>
          <w:sz w:val="24"/>
          <w:szCs w:val="24"/>
          <w14:cntxtAlts/>
        </w:rPr>
        <w:t>empower,</w:t>
      </w:r>
      <w:r w:rsidRPr="00796349">
        <w:rPr>
          <w:rFonts w:ascii="Times New Roman" w:hAnsi="Times New Roman" w:cs="Times New Roman"/>
          <w:color w:val="000000"/>
          <w:sz w:val="24"/>
          <w:szCs w:val="24"/>
          <w14:cntxtAlts/>
        </w:rPr>
        <w:t xml:space="preserve"> and motivate our employees and applicants to gain successful employment and career opportunities, while establishing a skilled and viable Tribal Member work force and business community.</w:t>
      </w:r>
    </w:p>
    <w:p w14:paraId="4A345D7E" w14:textId="363E391C" w:rsidR="00796349" w:rsidRPr="00796349" w:rsidRDefault="00796349" w:rsidP="00796349">
      <w:pPr>
        <w:rPr>
          <w:rFonts w:ascii="Times New Roman" w:hAnsi="Times New Roman" w:cs="Times New Roman"/>
          <w:sz w:val="24"/>
          <w:szCs w:val="24"/>
        </w:rPr>
      </w:pPr>
      <w:r w:rsidRPr="00796349">
        <w:rPr>
          <w:rFonts w:ascii="Times New Roman" w:hAnsi="Times New Roman" w:cs="Times New Roman"/>
          <w:sz w:val="24"/>
          <w:szCs w:val="24"/>
        </w:rPr>
        <w:t xml:space="preserve">As of </w:t>
      </w:r>
      <w:r w:rsidR="00A6318B">
        <w:rPr>
          <w:rFonts w:ascii="Times New Roman" w:hAnsi="Times New Roman" w:cs="Times New Roman"/>
          <w:sz w:val="24"/>
          <w:szCs w:val="24"/>
        </w:rPr>
        <w:t>6</w:t>
      </w:r>
      <w:r w:rsidRPr="00796349">
        <w:rPr>
          <w:rFonts w:ascii="Times New Roman" w:hAnsi="Times New Roman" w:cs="Times New Roman"/>
          <w:sz w:val="24"/>
          <w:szCs w:val="24"/>
        </w:rPr>
        <w:t>/</w:t>
      </w:r>
      <w:r w:rsidR="00850010">
        <w:rPr>
          <w:rFonts w:ascii="Times New Roman" w:hAnsi="Times New Roman" w:cs="Times New Roman"/>
          <w:sz w:val="24"/>
          <w:szCs w:val="24"/>
        </w:rPr>
        <w:t>3</w:t>
      </w:r>
      <w:r w:rsidR="00A6318B">
        <w:rPr>
          <w:rFonts w:ascii="Times New Roman" w:hAnsi="Times New Roman" w:cs="Times New Roman"/>
          <w:sz w:val="24"/>
          <w:szCs w:val="24"/>
        </w:rPr>
        <w:t>0</w:t>
      </w:r>
      <w:r w:rsidRPr="00796349">
        <w:rPr>
          <w:rFonts w:ascii="Times New Roman" w:hAnsi="Times New Roman" w:cs="Times New Roman"/>
          <w:sz w:val="24"/>
          <w:szCs w:val="24"/>
        </w:rPr>
        <w:t>/</w:t>
      </w:r>
      <w:r w:rsidR="00293F92">
        <w:rPr>
          <w:rFonts w:ascii="Times New Roman" w:hAnsi="Times New Roman" w:cs="Times New Roman"/>
          <w:sz w:val="24"/>
          <w:szCs w:val="24"/>
        </w:rPr>
        <w:t>20</w:t>
      </w:r>
      <w:r w:rsidRPr="00796349">
        <w:rPr>
          <w:rFonts w:ascii="Times New Roman" w:hAnsi="Times New Roman" w:cs="Times New Roman"/>
          <w:sz w:val="24"/>
          <w:szCs w:val="24"/>
        </w:rPr>
        <w:t xml:space="preserve"> Indian Head Casino Employment numbers:</w:t>
      </w:r>
      <w:r w:rsidR="00850010">
        <w:rPr>
          <w:rFonts w:ascii="Times New Roman" w:hAnsi="Times New Roman" w:cs="Times New Roman"/>
          <w:sz w:val="24"/>
          <w:szCs w:val="24"/>
        </w:rPr>
        <w:t xml:space="preserve">  </w:t>
      </w:r>
    </w:p>
    <w:p w14:paraId="55F37CF8" w14:textId="77777777" w:rsidR="00796349" w:rsidRPr="00796349" w:rsidRDefault="00796349" w:rsidP="00796349">
      <w:pPr>
        <w:ind w:left="2160"/>
        <w:rPr>
          <w:rFonts w:ascii="Times New Roman" w:hAnsi="Times New Roman" w:cs="Times New Roman"/>
          <w:sz w:val="24"/>
          <w:szCs w:val="24"/>
        </w:rPr>
      </w:pPr>
      <w:r w:rsidRPr="00796349">
        <w:rPr>
          <w:rFonts w:ascii="Times New Roman" w:hAnsi="Times New Roman" w:cs="Times New Roman"/>
          <w:sz w:val="24"/>
          <w:szCs w:val="24"/>
        </w:rPr>
        <w:t>Description</w:t>
      </w:r>
      <w:r w:rsidRPr="00796349">
        <w:rPr>
          <w:rFonts w:ascii="Times New Roman" w:hAnsi="Times New Roman" w:cs="Times New Roman"/>
          <w:sz w:val="24"/>
          <w:szCs w:val="24"/>
        </w:rPr>
        <w:tab/>
        <w:t>%</w:t>
      </w:r>
      <w:r w:rsidRPr="00796349">
        <w:rPr>
          <w:rFonts w:ascii="Times New Roman" w:hAnsi="Times New Roman" w:cs="Times New Roman"/>
          <w:sz w:val="24"/>
          <w:szCs w:val="24"/>
        </w:rPr>
        <w:tab/>
        <w:t>Number of Employees</w:t>
      </w:r>
      <w:r w:rsidRPr="00796349">
        <w:rPr>
          <w:rFonts w:ascii="Times New Roman" w:hAnsi="Times New Roman" w:cs="Times New Roman"/>
          <w:sz w:val="24"/>
          <w:szCs w:val="24"/>
        </w:rPr>
        <w:tab/>
      </w:r>
      <w:r w:rsidRPr="00796349">
        <w:rPr>
          <w:rFonts w:ascii="Times New Roman" w:hAnsi="Times New Roman" w:cs="Times New Roman"/>
          <w:sz w:val="24"/>
          <w:szCs w:val="24"/>
        </w:rPr>
        <w:tab/>
      </w:r>
    </w:p>
    <w:p w14:paraId="790E19E5" w14:textId="16A2DE48" w:rsidR="00796349" w:rsidRPr="004928DA" w:rsidRDefault="00796349" w:rsidP="00796349">
      <w:pPr>
        <w:ind w:left="1440" w:firstLine="720"/>
        <w:rPr>
          <w:rFonts w:ascii="Times New Roman" w:hAnsi="Times New Roman" w:cs="Times New Roman"/>
          <w:sz w:val="24"/>
          <w:szCs w:val="24"/>
        </w:rPr>
      </w:pPr>
      <w:r w:rsidRPr="004928DA">
        <w:rPr>
          <w:rFonts w:ascii="Times New Roman" w:hAnsi="Times New Roman" w:cs="Times New Roman"/>
          <w:sz w:val="24"/>
          <w:szCs w:val="24"/>
        </w:rPr>
        <w:t>TM</w:t>
      </w:r>
      <w:r w:rsidRPr="004928DA">
        <w:rPr>
          <w:rFonts w:ascii="Times New Roman" w:hAnsi="Times New Roman" w:cs="Times New Roman"/>
          <w:sz w:val="24"/>
          <w:szCs w:val="24"/>
        </w:rPr>
        <w:tab/>
      </w:r>
      <w:r w:rsidRPr="004928DA">
        <w:rPr>
          <w:rFonts w:ascii="Times New Roman" w:hAnsi="Times New Roman" w:cs="Times New Roman"/>
          <w:sz w:val="24"/>
          <w:szCs w:val="24"/>
        </w:rPr>
        <w:tab/>
      </w:r>
      <w:r w:rsidR="00032458" w:rsidRPr="004928DA">
        <w:rPr>
          <w:rFonts w:ascii="Times New Roman" w:hAnsi="Times New Roman" w:cs="Times New Roman"/>
          <w:sz w:val="24"/>
          <w:szCs w:val="24"/>
        </w:rPr>
        <w:t>5</w:t>
      </w:r>
      <w:r w:rsidR="004928DA" w:rsidRPr="004928DA">
        <w:rPr>
          <w:rFonts w:ascii="Times New Roman" w:hAnsi="Times New Roman" w:cs="Times New Roman"/>
          <w:sz w:val="24"/>
          <w:szCs w:val="24"/>
        </w:rPr>
        <w:t>2</w:t>
      </w:r>
      <w:r w:rsidRPr="004928DA">
        <w:rPr>
          <w:rFonts w:ascii="Times New Roman" w:hAnsi="Times New Roman" w:cs="Times New Roman"/>
          <w:sz w:val="24"/>
          <w:szCs w:val="24"/>
        </w:rPr>
        <w:t>%</w:t>
      </w:r>
      <w:r w:rsidRPr="004928DA">
        <w:rPr>
          <w:rFonts w:ascii="Times New Roman" w:hAnsi="Times New Roman" w:cs="Times New Roman"/>
          <w:sz w:val="24"/>
          <w:szCs w:val="24"/>
        </w:rPr>
        <w:tab/>
      </w:r>
      <w:r w:rsidRPr="004928DA">
        <w:rPr>
          <w:rFonts w:ascii="Times New Roman" w:hAnsi="Times New Roman" w:cs="Times New Roman"/>
          <w:sz w:val="24"/>
          <w:szCs w:val="24"/>
        </w:rPr>
        <w:tab/>
      </w:r>
      <w:r w:rsidR="00032458" w:rsidRPr="004928DA">
        <w:rPr>
          <w:rFonts w:ascii="Times New Roman" w:hAnsi="Times New Roman" w:cs="Times New Roman"/>
          <w:sz w:val="24"/>
          <w:szCs w:val="24"/>
        </w:rPr>
        <w:t>7</w:t>
      </w:r>
      <w:r w:rsidR="004928DA" w:rsidRPr="004928DA">
        <w:rPr>
          <w:rFonts w:ascii="Times New Roman" w:hAnsi="Times New Roman" w:cs="Times New Roman"/>
          <w:sz w:val="24"/>
          <w:szCs w:val="24"/>
        </w:rPr>
        <w:t>5</w:t>
      </w:r>
    </w:p>
    <w:p w14:paraId="2D04644C" w14:textId="39C09CA0" w:rsidR="00796349" w:rsidRPr="004928DA" w:rsidRDefault="00796349" w:rsidP="00796349">
      <w:pPr>
        <w:ind w:left="1440" w:firstLine="720"/>
        <w:rPr>
          <w:rFonts w:ascii="Times New Roman" w:hAnsi="Times New Roman" w:cs="Times New Roman"/>
          <w:sz w:val="24"/>
          <w:szCs w:val="24"/>
        </w:rPr>
      </w:pPr>
      <w:r w:rsidRPr="004928DA">
        <w:rPr>
          <w:rFonts w:ascii="Times New Roman" w:hAnsi="Times New Roman" w:cs="Times New Roman"/>
          <w:sz w:val="24"/>
          <w:szCs w:val="24"/>
        </w:rPr>
        <w:t>MT</w:t>
      </w:r>
      <w:r w:rsidRPr="004928DA">
        <w:rPr>
          <w:rFonts w:ascii="Times New Roman" w:hAnsi="Times New Roman" w:cs="Times New Roman"/>
          <w:sz w:val="24"/>
          <w:szCs w:val="24"/>
        </w:rPr>
        <w:tab/>
      </w:r>
      <w:r w:rsidRPr="004928DA">
        <w:rPr>
          <w:rFonts w:ascii="Times New Roman" w:hAnsi="Times New Roman" w:cs="Times New Roman"/>
          <w:sz w:val="24"/>
          <w:szCs w:val="24"/>
        </w:rPr>
        <w:tab/>
      </w:r>
      <w:r w:rsidR="002C6FA8" w:rsidRPr="004928DA">
        <w:rPr>
          <w:rFonts w:ascii="Times New Roman" w:hAnsi="Times New Roman" w:cs="Times New Roman"/>
          <w:sz w:val="24"/>
          <w:szCs w:val="24"/>
        </w:rPr>
        <w:t xml:space="preserve"> </w:t>
      </w:r>
      <w:r w:rsidR="00032458" w:rsidRPr="004928DA">
        <w:rPr>
          <w:rFonts w:ascii="Times New Roman" w:hAnsi="Times New Roman" w:cs="Times New Roman"/>
          <w:sz w:val="24"/>
          <w:szCs w:val="24"/>
        </w:rPr>
        <w:t>7</w:t>
      </w:r>
      <w:r w:rsidRPr="004928DA">
        <w:rPr>
          <w:rFonts w:ascii="Times New Roman" w:hAnsi="Times New Roman" w:cs="Times New Roman"/>
          <w:sz w:val="24"/>
          <w:szCs w:val="24"/>
        </w:rPr>
        <w:t>%</w:t>
      </w:r>
      <w:r w:rsidRPr="004928DA">
        <w:rPr>
          <w:rFonts w:ascii="Times New Roman" w:hAnsi="Times New Roman" w:cs="Times New Roman"/>
          <w:sz w:val="24"/>
          <w:szCs w:val="24"/>
        </w:rPr>
        <w:tab/>
      </w:r>
      <w:r w:rsidRPr="004928DA">
        <w:rPr>
          <w:rFonts w:ascii="Times New Roman" w:hAnsi="Times New Roman" w:cs="Times New Roman"/>
          <w:sz w:val="24"/>
          <w:szCs w:val="24"/>
        </w:rPr>
        <w:tab/>
        <w:t>1</w:t>
      </w:r>
      <w:r w:rsidR="00032458" w:rsidRPr="004928DA">
        <w:rPr>
          <w:rFonts w:ascii="Times New Roman" w:hAnsi="Times New Roman" w:cs="Times New Roman"/>
          <w:sz w:val="24"/>
          <w:szCs w:val="24"/>
        </w:rPr>
        <w:t>0</w:t>
      </w:r>
    </w:p>
    <w:p w14:paraId="1C888610" w14:textId="6AA92BE5" w:rsidR="00796349" w:rsidRPr="004928DA" w:rsidRDefault="00796349" w:rsidP="00796349">
      <w:pPr>
        <w:ind w:left="1440" w:firstLine="720"/>
        <w:rPr>
          <w:rFonts w:ascii="Times New Roman" w:hAnsi="Times New Roman" w:cs="Times New Roman"/>
          <w:sz w:val="24"/>
          <w:szCs w:val="24"/>
        </w:rPr>
      </w:pPr>
      <w:r w:rsidRPr="004928DA">
        <w:rPr>
          <w:rFonts w:ascii="Times New Roman" w:hAnsi="Times New Roman" w:cs="Times New Roman"/>
          <w:sz w:val="24"/>
          <w:szCs w:val="24"/>
        </w:rPr>
        <w:t xml:space="preserve">Other Indian </w:t>
      </w:r>
      <w:r w:rsidRPr="004928DA">
        <w:rPr>
          <w:rFonts w:ascii="Times New Roman" w:hAnsi="Times New Roman" w:cs="Times New Roman"/>
          <w:sz w:val="24"/>
          <w:szCs w:val="24"/>
        </w:rPr>
        <w:tab/>
        <w:t>1</w:t>
      </w:r>
      <w:r w:rsidR="004928DA" w:rsidRPr="004928DA">
        <w:rPr>
          <w:rFonts w:ascii="Times New Roman" w:hAnsi="Times New Roman" w:cs="Times New Roman"/>
          <w:sz w:val="24"/>
          <w:szCs w:val="24"/>
        </w:rPr>
        <w:t>2</w:t>
      </w:r>
      <w:r w:rsidRPr="004928DA">
        <w:rPr>
          <w:rFonts w:ascii="Times New Roman" w:hAnsi="Times New Roman" w:cs="Times New Roman"/>
          <w:sz w:val="24"/>
          <w:szCs w:val="24"/>
        </w:rPr>
        <w:t>%</w:t>
      </w:r>
      <w:r w:rsidRPr="004928DA">
        <w:rPr>
          <w:rFonts w:ascii="Times New Roman" w:hAnsi="Times New Roman" w:cs="Times New Roman"/>
          <w:sz w:val="24"/>
          <w:szCs w:val="24"/>
        </w:rPr>
        <w:tab/>
        <w:t xml:space="preserve">            </w:t>
      </w:r>
      <w:r w:rsidR="002C6FA8" w:rsidRPr="004928DA">
        <w:rPr>
          <w:rFonts w:ascii="Times New Roman" w:hAnsi="Times New Roman" w:cs="Times New Roman"/>
          <w:sz w:val="24"/>
          <w:szCs w:val="24"/>
        </w:rPr>
        <w:t>1</w:t>
      </w:r>
      <w:r w:rsidR="004928DA" w:rsidRPr="004928DA">
        <w:rPr>
          <w:rFonts w:ascii="Times New Roman" w:hAnsi="Times New Roman" w:cs="Times New Roman"/>
          <w:sz w:val="24"/>
          <w:szCs w:val="24"/>
        </w:rPr>
        <w:t>7</w:t>
      </w:r>
    </w:p>
    <w:p w14:paraId="3C8BCE1B" w14:textId="355DB87C" w:rsidR="00796349" w:rsidRPr="004928DA" w:rsidRDefault="00796349" w:rsidP="00796349">
      <w:pPr>
        <w:ind w:left="1440" w:firstLine="720"/>
        <w:rPr>
          <w:rFonts w:ascii="Times New Roman" w:hAnsi="Times New Roman" w:cs="Times New Roman"/>
          <w:sz w:val="24"/>
          <w:szCs w:val="24"/>
        </w:rPr>
      </w:pPr>
      <w:r w:rsidRPr="004928DA">
        <w:rPr>
          <w:rFonts w:ascii="Times New Roman" w:hAnsi="Times New Roman" w:cs="Times New Roman"/>
          <w:sz w:val="24"/>
          <w:szCs w:val="24"/>
        </w:rPr>
        <w:t>Non-Indian</w:t>
      </w:r>
      <w:r w:rsidRPr="004928DA">
        <w:rPr>
          <w:rFonts w:ascii="Times New Roman" w:hAnsi="Times New Roman" w:cs="Times New Roman"/>
          <w:sz w:val="24"/>
          <w:szCs w:val="24"/>
        </w:rPr>
        <w:tab/>
        <w:t>3</w:t>
      </w:r>
      <w:r w:rsidR="004928DA" w:rsidRPr="004928DA">
        <w:rPr>
          <w:rFonts w:ascii="Times New Roman" w:hAnsi="Times New Roman" w:cs="Times New Roman"/>
          <w:sz w:val="24"/>
          <w:szCs w:val="24"/>
        </w:rPr>
        <w:t>0</w:t>
      </w:r>
      <w:r w:rsidRPr="004928DA">
        <w:rPr>
          <w:rFonts w:ascii="Times New Roman" w:hAnsi="Times New Roman" w:cs="Times New Roman"/>
          <w:sz w:val="24"/>
          <w:szCs w:val="24"/>
        </w:rPr>
        <w:t>%</w:t>
      </w:r>
      <w:r w:rsidRPr="004928DA">
        <w:rPr>
          <w:rFonts w:ascii="Times New Roman" w:hAnsi="Times New Roman" w:cs="Times New Roman"/>
          <w:sz w:val="24"/>
          <w:szCs w:val="24"/>
        </w:rPr>
        <w:tab/>
      </w:r>
      <w:r w:rsidRPr="004928DA">
        <w:rPr>
          <w:rFonts w:ascii="Times New Roman" w:hAnsi="Times New Roman" w:cs="Times New Roman"/>
          <w:sz w:val="24"/>
          <w:szCs w:val="24"/>
        </w:rPr>
        <w:tab/>
      </w:r>
      <w:r w:rsidR="00032458" w:rsidRPr="004928DA">
        <w:rPr>
          <w:rFonts w:ascii="Times New Roman" w:hAnsi="Times New Roman" w:cs="Times New Roman"/>
          <w:sz w:val="24"/>
          <w:szCs w:val="24"/>
        </w:rPr>
        <w:t>4</w:t>
      </w:r>
      <w:r w:rsidR="004928DA" w:rsidRPr="004928DA">
        <w:rPr>
          <w:rFonts w:ascii="Times New Roman" w:hAnsi="Times New Roman" w:cs="Times New Roman"/>
          <w:sz w:val="24"/>
          <w:szCs w:val="24"/>
        </w:rPr>
        <w:t>3</w:t>
      </w:r>
    </w:p>
    <w:p w14:paraId="5A6EC7C9" w14:textId="02E55E52" w:rsidR="00850010" w:rsidRPr="004928DA" w:rsidRDefault="00850010" w:rsidP="00850010">
      <w:pPr>
        <w:rPr>
          <w:rFonts w:ascii="Times New Roman" w:hAnsi="Times New Roman" w:cs="Times New Roman"/>
          <w:sz w:val="24"/>
          <w:szCs w:val="24"/>
        </w:rPr>
      </w:pPr>
      <w:r w:rsidRPr="004928DA">
        <w:rPr>
          <w:rFonts w:ascii="Times New Roman" w:hAnsi="Times New Roman" w:cs="Times New Roman"/>
          <w:sz w:val="24"/>
          <w:szCs w:val="24"/>
        </w:rPr>
        <w:t xml:space="preserve">As of </w:t>
      </w:r>
      <w:r w:rsidR="00A6318B" w:rsidRPr="004928DA">
        <w:rPr>
          <w:rFonts w:ascii="Times New Roman" w:hAnsi="Times New Roman" w:cs="Times New Roman"/>
          <w:sz w:val="24"/>
          <w:szCs w:val="24"/>
        </w:rPr>
        <w:t>6</w:t>
      </w:r>
      <w:r w:rsidRPr="004928DA">
        <w:rPr>
          <w:rFonts w:ascii="Times New Roman" w:hAnsi="Times New Roman" w:cs="Times New Roman"/>
          <w:sz w:val="24"/>
          <w:szCs w:val="24"/>
        </w:rPr>
        <w:t>/3</w:t>
      </w:r>
      <w:r w:rsidR="00A6318B" w:rsidRPr="004928DA">
        <w:rPr>
          <w:rFonts w:ascii="Times New Roman" w:hAnsi="Times New Roman" w:cs="Times New Roman"/>
          <w:sz w:val="24"/>
          <w:szCs w:val="24"/>
        </w:rPr>
        <w:t>0</w:t>
      </w:r>
      <w:r w:rsidRPr="004928DA">
        <w:rPr>
          <w:rFonts w:ascii="Times New Roman" w:hAnsi="Times New Roman" w:cs="Times New Roman"/>
          <w:sz w:val="24"/>
          <w:szCs w:val="24"/>
        </w:rPr>
        <w:t>/</w:t>
      </w:r>
      <w:r w:rsidR="00293F92" w:rsidRPr="004928DA">
        <w:rPr>
          <w:rFonts w:ascii="Times New Roman" w:hAnsi="Times New Roman" w:cs="Times New Roman"/>
          <w:sz w:val="24"/>
          <w:szCs w:val="24"/>
        </w:rPr>
        <w:t>20</w:t>
      </w:r>
      <w:r w:rsidRPr="004928DA">
        <w:rPr>
          <w:rFonts w:ascii="Times New Roman" w:hAnsi="Times New Roman" w:cs="Times New Roman"/>
          <w:sz w:val="24"/>
          <w:szCs w:val="24"/>
        </w:rPr>
        <w:t xml:space="preserve"> Plateau Travel Plaza Employment numbers:</w:t>
      </w:r>
    </w:p>
    <w:p w14:paraId="66F34C06" w14:textId="77777777" w:rsidR="00850010" w:rsidRPr="004928DA" w:rsidRDefault="00850010" w:rsidP="00850010">
      <w:pPr>
        <w:ind w:left="2160"/>
        <w:rPr>
          <w:rFonts w:ascii="Times New Roman" w:hAnsi="Times New Roman" w:cs="Times New Roman"/>
          <w:sz w:val="24"/>
          <w:szCs w:val="24"/>
        </w:rPr>
      </w:pPr>
      <w:r w:rsidRPr="004928DA">
        <w:rPr>
          <w:rFonts w:ascii="Times New Roman" w:hAnsi="Times New Roman" w:cs="Times New Roman"/>
          <w:sz w:val="24"/>
          <w:szCs w:val="24"/>
        </w:rPr>
        <w:t>Description</w:t>
      </w:r>
      <w:r w:rsidRPr="004928DA">
        <w:rPr>
          <w:rFonts w:ascii="Times New Roman" w:hAnsi="Times New Roman" w:cs="Times New Roman"/>
          <w:sz w:val="24"/>
          <w:szCs w:val="24"/>
        </w:rPr>
        <w:tab/>
        <w:t>%</w:t>
      </w:r>
      <w:r w:rsidRPr="004928DA">
        <w:rPr>
          <w:rFonts w:ascii="Times New Roman" w:hAnsi="Times New Roman" w:cs="Times New Roman"/>
          <w:sz w:val="24"/>
          <w:szCs w:val="24"/>
        </w:rPr>
        <w:tab/>
        <w:t>Number of Employees</w:t>
      </w:r>
      <w:r w:rsidRPr="004928DA">
        <w:rPr>
          <w:rFonts w:ascii="Times New Roman" w:hAnsi="Times New Roman" w:cs="Times New Roman"/>
          <w:sz w:val="24"/>
          <w:szCs w:val="24"/>
        </w:rPr>
        <w:tab/>
      </w:r>
      <w:r w:rsidRPr="004928DA">
        <w:rPr>
          <w:rFonts w:ascii="Times New Roman" w:hAnsi="Times New Roman" w:cs="Times New Roman"/>
          <w:sz w:val="24"/>
          <w:szCs w:val="24"/>
        </w:rPr>
        <w:tab/>
      </w:r>
    </w:p>
    <w:p w14:paraId="1EB87280" w14:textId="7B3973BA" w:rsidR="00850010" w:rsidRPr="004928DA" w:rsidRDefault="00850010" w:rsidP="00850010">
      <w:pPr>
        <w:ind w:left="1440" w:firstLine="720"/>
        <w:rPr>
          <w:rFonts w:ascii="Times New Roman" w:hAnsi="Times New Roman" w:cs="Times New Roman"/>
          <w:sz w:val="24"/>
          <w:szCs w:val="24"/>
        </w:rPr>
      </w:pPr>
      <w:r w:rsidRPr="004928DA">
        <w:rPr>
          <w:rFonts w:ascii="Times New Roman" w:hAnsi="Times New Roman" w:cs="Times New Roman"/>
          <w:sz w:val="24"/>
          <w:szCs w:val="24"/>
        </w:rPr>
        <w:t>TM</w:t>
      </w:r>
      <w:r w:rsidRPr="004928DA">
        <w:rPr>
          <w:rFonts w:ascii="Times New Roman" w:hAnsi="Times New Roman" w:cs="Times New Roman"/>
          <w:sz w:val="24"/>
          <w:szCs w:val="24"/>
        </w:rPr>
        <w:tab/>
      </w:r>
      <w:r w:rsidRPr="004928DA">
        <w:rPr>
          <w:rFonts w:ascii="Times New Roman" w:hAnsi="Times New Roman" w:cs="Times New Roman"/>
          <w:sz w:val="24"/>
          <w:szCs w:val="24"/>
        </w:rPr>
        <w:tab/>
      </w:r>
      <w:r w:rsidR="00032458" w:rsidRPr="004928DA">
        <w:rPr>
          <w:rFonts w:ascii="Times New Roman" w:hAnsi="Times New Roman" w:cs="Times New Roman"/>
          <w:sz w:val="24"/>
          <w:szCs w:val="24"/>
        </w:rPr>
        <w:t>44</w:t>
      </w:r>
      <w:r w:rsidRPr="004928DA">
        <w:rPr>
          <w:rFonts w:ascii="Times New Roman" w:hAnsi="Times New Roman" w:cs="Times New Roman"/>
          <w:sz w:val="24"/>
          <w:szCs w:val="24"/>
        </w:rPr>
        <w:t>%</w:t>
      </w:r>
      <w:r w:rsidRPr="004928DA">
        <w:rPr>
          <w:rFonts w:ascii="Times New Roman" w:hAnsi="Times New Roman" w:cs="Times New Roman"/>
          <w:sz w:val="24"/>
          <w:szCs w:val="24"/>
        </w:rPr>
        <w:tab/>
      </w:r>
      <w:r w:rsidRPr="004928DA">
        <w:rPr>
          <w:rFonts w:ascii="Times New Roman" w:hAnsi="Times New Roman" w:cs="Times New Roman"/>
          <w:sz w:val="24"/>
          <w:szCs w:val="24"/>
        </w:rPr>
        <w:tab/>
      </w:r>
      <w:r w:rsidR="00032458" w:rsidRPr="004928DA">
        <w:rPr>
          <w:rFonts w:ascii="Times New Roman" w:hAnsi="Times New Roman" w:cs="Times New Roman"/>
          <w:sz w:val="24"/>
          <w:szCs w:val="24"/>
        </w:rPr>
        <w:t>2</w:t>
      </w:r>
      <w:r w:rsidR="004928DA" w:rsidRPr="004928DA">
        <w:rPr>
          <w:rFonts w:ascii="Times New Roman" w:hAnsi="Times New Roman" w:cs="Times New Roman"/>
          <w:sz w:val="24"/>
          <w:szCs w:val="24"/>
        </w:rPr>
        <w:t>2</w:t>
      </w:r>
    </w:p>
    <w:p w14:paraId="4B957815" w14:textId="4E854EB1" w:rsidR="00032458" w:rsidRPr="004928DA" w:rsidRDefault="00850010" w:rsidP="00796349">
      <w:pPr>
        <w:ind w:left="1440" w:firstLine="720"/>
        <w:rPr>
          <w:rFonts w:ascii="Times New Roman" w:hAnsi="Times New Roman" w:cs="Times New Roman"/>
          <w:sz w:val="24"/>
          <w:szCs w:val="24"/>
        </w:rPr>
      </w:pPr>
      <w:r w:rsidRPr="004928DA">
        <w:rPr>
          <w:rFonts w:ascii="Times New Roman" w:hAnsi="Times New Roman" w:cs="Times New Roman"/>
          <w:sz w:val="24"/>
          <w:szCs w:val="24"/>
        </w:rPr>
        <w:t xml:space="preserve">Other Indian </w:t>
      </w:r>
      <w:r w:rsidRPr="004928DA">
        <w:rPr>
          <w:rFonts w:ascii="Times New Roman" w:hAnsi="Times New Roman" w:cs="Times New Roman"/>
          <w:sz w:val="24"/>
          <w:szCs w:val="24"/>
        </w:rPr>
        <w:tab/>
      </w:r>
      <w:r w:rsidR="00032458" w:rsidRPr="004928DA">
        <w:rPr>
          <w:rFonts w:ascii="Times New Roman" w:hAnsi="Times New Roman" w:cs="Times New Roman"/>
          <w:sz w:val="24"/>
          <w:szCs w:val="24"/>
        </w:rPr>
        <w:t xml:space="preserve"> </w:t>
      </w:r>
      <w:r w:rsidR="004928DA" w:rsidRPr="004928DA">
        <w:rPr>
          <w:rFonts w:ascii="Times New Roman" w:hAnsi="Times New Roman" w:cs="Times New Roman"/>
          <w:sz w:val="24"/>
          <w:szCs w:val="24"/>
        </w:rPr>
        <w:t>22</w:t>
      </w:r>
      <w:r w:rsidRPr="004928DA">
        <w:rPr>
          <w:rFonts w:ascii="Times New Roman" w:hAnsi="Times New Roman" w:cs="Times New Roman"/>
          <w:sz w:val="24"/>
          <w:szCs w:val="24"/>
        </w:rPr>
        <w:t>%</w:t>
      </w:r>
      <w:r w:rsidRPr="004928DA">
        <w:rPr>
          <w:rFonts w:ascii="Times New Roman" w:hAnsi="Times New Roman" w:cs="Times New Roman"/>
          <w:sz w:val="24"/>
          <w:szCs w:val="24"/>
        </w:rPr>
        <w:tab/>
        <w:t xml:space="preserve">            </w:t>
      </w:r>
      <w:r w:rsidR="004928DA" w:rsidRPr="004928DA">
        <w:rPr>
          <w:rFonts w:ascii="Times New Roman" w:hAnsi="Times New Roman" w:cs="Times New Roman"/>
          <w:sz w:val="24"/>
          <w:szCs w:val="24"/>
        </w:rPr>
        <w:t>11</w:t>
      </w:r>
    </w:p>
    <w:p w14:paraId="6937EC87" w14:textId="55664521" w:rsidR="00850010" w:rsidRPr="00796349" w:rsidRDefault="00032458" w:rsidP="00796349">
      <w:pPr>
        <w:ind w:left="1440" w:firstLine="720"/>
        <w:rPr>
          <w:rFonts w:ascii="Times New Roman" w:hAnsi="Times New Roman" w:cs="Times New Roman"/>
          <w:sz w:val="24"/>
          <w:szCs w:val="24"/>
        </w:rPr>
      </w:pPr>
      <w:r w:rsidRPr="004928DA">
        <w:rPr>
          <w:rFonts w:ascii="Times New Roman" w:hAnsi="Times New Roman" w:cs="Times New Roman"/>
          <w:sz w:val="24"/>
          <w:szCs w:val="24"/>
        </w:rPr>
        <w:t>N</w:t>
      </w:r>
      <w:r w:rsidR="00850010" w:rsidRPr="004928DA">
        <w:rPr>
          <w:rFonts w:ascii="Times New Roman" w:hAnsi="Times New Roman" w:cs="Times New Roman"/>
          <w:sz w:val="24"/>
          <w:szCs w:val="24"/>
        </w:rPr>
        <w:t>on-Indian</w:t>
      </w:r>
      <w:r w:rsidR="00850010" w:rsidRPr="004928DA">
        <w:rPr>
          <w:rFonts w:ascii="Times New Roman" w:hAnsi="Times New Roman" w:cs="Times New Roman"/>
          <w:sz w:val="24"/>
          <w:szCs w:val="24"/>
        </w:rPr>
        <w:tab/>
        <w:t>3</w:t>
      </w:r>
      <w:r w:rsidR="004928DA" w:rsidRPr="004928DA">
        <w:rPr>
          <w:rFonts w:ascii="Times New Roman" w:hAnsi="Times New Roman" w:cs="Times New Roman"/>
          <w:sz w:val="24"/>
          <w:szCs w:val="24"/>
        </w:rPr>
        <w:t>4</w:t>
      </w:r>
      <w:r w:rsidR="00850010" w:rsidRPr="004928DA">
        <w:rPr>
          <w:rFonts w:ascii="Times New Roman" w:hAnsi="Times New Roman" w:cs="Times New Roman"/>
          <w:sz w:val="24"/>
          <w:szCs w:val="24"/>
        </w:rPr>
        <w:t>%</w:t>
      </w:r>
      <w:r w:rsidR="00850010" w:rsidRPr="004928DA">
        <w:rPr>
          <w:rFonts w:ascii="Times New Roman" w:hAnsi="Times New Roman" w:cs="Times New Roman"/>
          <w:sz w:val="24"/>
          <w:szCs w:val="24"/>
        </w:rPr>
        <w:tab/>
      </w:r>
      <w:r w:rsidR="00850010" w:rsidRPr="004928DA">
        <w:rPr>
          <w:rFonts w:ascii="Times New Roman" w:hAnsi="Times New Roman" w:cs="Times New Roman"/>
          <w:sz w:val="24"/>
          <w:szCs w:val="24"/>
        </w:rPr>
        <w:tab/>
      </w:r>
      <w:r w:rsidR="004928DA" w:rsidRPr="004928DA">
        <w:rPr>
          <w:rFonts w:ascii="Times New Roman" w:hAnsi="Times New Roman" w:cs="Times New Roman"/>
          <w:sz w:val="24"/>
          <w:szCs w:val="24"/>
        </w:rPr>
        <w:t>17</w:t>
      </w:r>
    </w:p>
    <w:p w14:paraId="2179D47B" w14:textId="77777777" w:rsidR="002F4700" w:rsidRDefault="002F4700" w:rsidP="00A94093">
      <w:pPr>
        <w:rPr>
          <w:rFonts w:ascii="Times New Roman" w:hAnsi="Times New Roman" w:cs="Times New Roman"/>
          <w:b/>
          <w:color w:val="000000" w:themeColor="text1"/>
          <w:sz w:val="24"/>
          <w:szCs w:val="24"/>
        </w:rPr>
      </w:pPr>
    </w:p>
    <w:p w14:paraId="59D93991" w14:textId="4F17F4DF" w:rsidR="00A94093" w:rsidRPr="00E0356E" w:rsidRDefault="00A94093" w:rsidP="00A94093">
      <w:pPr>
        <w:rPr>
          <w:rFonts w:ascii="Times New Roman" w:hAnsi="Times New Roman" w:cs="Times New Roman"/>
          <w:b/>
          <w:color w:val="000000" w:themeColor="text1"/>
          <w:sz w:val="24"/>
          <w:szCs w:val="24"/>
        </w:rPr>
      </w:pPr>
      <w:r w:rsidRPr="00E0356E">
        <w:rPr>
          <w:rFonts w:ascii="Times New Roman" w:hAnsi="Times New Roman" w:cs="Times New Roman"/>
          <w:b/>
          <w:color w:val="000000" w:themeColor="text1"/>
          <w:sz w:val="24"/>
          <w:szCs w:val="24"/>
        </w:rPr>
        <w:t>Accomplishments in 20</w:t>
      </w:r>
      <w:r w:rsidR="00293F92">
        <w:rPr>
          <w:rFonts w:ascii="Times New Roman" w:hAnsi="Times New Roman" w:cs="Times New Roman"/>
          <w:b/>
          <w:color w:val="000000" w:themeColor="text1"/>
          <w:sz w:val="24"/>
          <w:szCs w:val="24"/>
        </w:rPr>
        <w:t>20</w:t>
      </w:r>
      <w:r w:rsidRPr="00E0356E">
        <w:rPr>
          <w:rFonts w:ascii="Times New Roman" w:hAnsi="Times New Roman" w:cs="Times New Roman"/>
          <w:b/>
          <w:color w:val="000000" w:themeColor="text1"/>
          <w:sz w:val="24"/>
          <w:szCs w:val="24"/>
        </w:rPr>
        <w:t xml:space="preserve"> (Year Over Year January – </w:t>
      </w:r>
      <w:r w:rsidR="00A6318B">
        <w:rPr>
          <w:rFonts w:ascii="Times New Roman" w:hAnsi="Times New Roman" w:cs="Times New Roman"/>
          <w:b/>
          <w:color w:val="000000" w:themeColor="text1"/>
          <w:sz w:val="24"/>
          <w:szCs w:val="24"/>
        </w:rPr>
        <w:t>Ju</w:t>
      </w:r>
      <w:r w:rsidR="009523CC">
        <w:rPr>
          <w:rFonts w:ascii="Times New Roman" w:hAnsi="Times New Roman" w:cs="Times New Roman"/>
          <w:b/>
          <w:color w:val="000000" w:themeColor="text1"/>
          <w:sz w:val="24"/>
          <w:szCs w:val="24"/>
        </w:rPr>
        <w:t>ne</w:t>
      </w:r>
      <w:r w:rsidRPr="00E0356E">
        <w:rPr>
          <w:rFonts w:ascii="Times New Roman" w:hAnsi="Times New Roman" w:cs="Times New Roman"/>
          <w:b/>
          <w:color w:val="000000" w:themeColor="text1"/>
          <w:sz w:val="24"/>
          <w:szCs w:val="24"/>
        </w:rPr>
        <w:t>)</w:t>
      </w:r>
    </w:p>
    <w:bookmarkEnd w:id="0"/>
    <w:p w14:paraId="1DEA2A9A" w14:textId="5A6E4152" w:rsidR="009523CC" w:rsidRPr="009523CC" w:rsidRDefault="00293F92" w:rsidP="00B05BF5">
      <w:pPr>
        <w:pStyle w:val="ListParagraph"/>
        <w:numPr>
          <w:ilvl w:val="1"/>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COVID </w:t>
      </w:r>
      <w:r w:rsidR="00E63F5D">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as but restriction on any accomplishment this year at the casino</w:t>
      </w:r>
      <w:r w:rsidR="004012AB" w:rsidRPr="009523CC">
        <w:rPr>
          <w:rFonts w:ascii="Times New Roman" w:hAnsi="Times New Roman" w:cs="Times New Roman"/>
          <w:color w:val="000000" w:themeColor="text1"/>
          <w:sz w:val="24"/>
          <w:szCs w:val="24"/>
        </w:rPr>
        <w:t xml:space="preserve"> </w:t>
      </w:r>
    </w:p>
    <w:p w14:paraId="6AC38093" w14:textId="52CCC62C" w:rsidR="009523CC" w:rsidRPr="009523CC" w:rsidRDefault="009523CC" w:rsidP="00B05BF5">
      <w:pPr>
        <w:pStyle w:val="ListParagraph"/>
        <w:numPr>
          <w:ilvl w:val="1"/>
          <w:numId w:val="4"/>
        </w:numPr>
        <w:rPr>
          <w:rFonts w:ascii="Times New Roman" w:hAnsi="Times New Roman" w:cs="Times New Roman"/>
          <w:color w:val="000000" w:themeColor="text1"/>
          <w:sz w:val="24"/>
          <w:szCs w:val="24"/>
        </w:rPr>
      </w:pPr>
      <w:r w:rsidRPr="009523CC">
        <w:rPr>
          <w:rFonts w:ascii="Times New Roman" w:hAnsi="Times New Roman" w:cs="Times New Roman"/>
          <w:color w:val="000000" w:themeColor="text1"/>
          <w:sz w:val="24"/>
          <w:szCs w:val="24"/>
        </w:rPr>
        <w:t>PTP profitability has increase</w:t>
      </w:r>
      <w:r w:rsidR="00E63F5D">
        <w:rPr>
          <w:rFonts w:ascii="Times New Roman" w:hAnsi="Times New Roman" w:cs="Times New Roman"/>
          <w:color w:val="000000" w:themeColor="text1"/>
          <w:sz w:val="24"/>
          <w:szCs w:val="24"/>
        </w:rPr>
        <w:t>d</w:t>
      </w:r>
      <w:r w:rsidRPr="009523CC">
        <w:rPr>
          <w:rFonts w:ascii="Times New Roman" w:hAnsi="Times New Roman" w:cs="Times New Roman"/>
          <w:color w:val="000000" w:themeColor="text1"/>
          <w:sz w:val="24"/>
          <w:szCs w:val="24"/>
        </w:rPr>
        <w:t xml:space="preserve"> significantly</w:t>
      </w:r>
    </w:p>
    <w:p w14:paraId="2C71927C" w14:textId="53E29AAF" w:rsidR="00E63F5D" w:rsidRDefault="00A94093" w:rsidP="00A94093">
      <w:pPr>
        <w:rPr>
          <w:rFonts w:ascii="Times New Roman" w:hAnsi="Times New Roman" w:cs="Times New Roman"/>
          <w:color w:val="000000" w:themeColor="text1"/>
          <w:sz w:val="24"/>
          <w:szCs w:val="24"/>
        </w:rPr>
      </w:pPr>
      <w:r w:rsidRPr="00E0356E">
        <w:rPr>
          <w:rFonts w:ascii="Times New Roman" w:hAnsi="Times New Roman" w:cs="Times New Roman"/>
          <w:b/>
          <w:color w:val="000000" w:themeColor="text1"/>
          <w:sz w:val="24"/>
          <w:szCs w:val="24"/>
        </w:rPr>
        <w:t>Commitment to our Communities -</w:t>
      </w:r>
      <w:r w:rsidRPr="00E0356E">
        <w:rPr>
          <w:rFonts w:ascii="Times New Roman" w:hAnsi="Times New Roman" w:cs="Times New Roman"/>
          <w:color w:val="000000" w:themeColor="text1"/>
          <w:sz w:val="24"/>
          <w:szCs w:val="24"/>
        </w:rPr>
        <w:t xml:space="preserve"> through our donation and sponsorships committee we support our local and surrounding communities. Indian Head </w:t>
      </w:r>
      <w:r w:rsidR="00E63F5D">
        <w:rPr>
          <w:rFonts w:ascii="Times New Roman" w:hAnsi="Times New Roman" w:cs="Times New Roman"/>
          <w:color w:val="000000" w:themeColor="text1"/>
          <w:sz w:val="24"/>
          <w:szCs w:val="24"/>
        </w:rPr>
        <w:t>Casino</w:t>
      </w:r>
      <w:r w:rsidR="004012AB">
        <w:rPr>
          <w:rFonts w:ascii="Times New Roman" w:hAnsi="Times New Roman" w:cs="Times New Roman"/>
          <w:color w:val="000000" w:themeColor="text1"/>
          <w:sz w:val="24"/>
          <w:szCs w:val="24"/>
        </w:rPr>
        <w:t xml:space="preserve"> Enterprises</w:t>
      </w:r>
      <w:r w:rsidRPr="00E0356E">
        <w:rPr>
          <w:rFonts w:ascii="Times New Roman" w:hAnsi="Times New Roman" w:cs="Times New Roman"/>
          <w:color w:val="000000" w:themeColor="text1"/>
          <w:sz w:val="24"/>
          <w:szCs w:val="24"/>
        </w:rPr>
        <w:t xml:space="preserve"> </w:t>
      </w:r>
      <w:r w:rsidR="00E63F5D">
        <w:rPr>
          <w:rFonts w:ascii="Times New Roman" w:hAnsi="Times New Roman" w:cs="Times New Roman"/>
          <w:color w:val="000000" w:themeColor="text1"/>
          <w:sz w:val="24"/>
          <w:szCs w:val="24"/>
        </w:rPr>
        <w:t xml:space="preserve">contributed </w:t>
      </w:r>
      <w:r w:rsidRPr="00E80C59">
        <w:rPr>
          <w:rFonts w:ascii="Times New Roman" w:hAnsi="Times New Roman" w:cs="Times New Roman"/>
          <w:color w:val="000000" w:themeColor="text1"/>
          <w:sz w:val="24"/>
          <w:szCs w:val="24"/>
        </w:rPr>
        <w:t>$</w:t>
      </w:r>
      <w:r w:rsidR="00E80C59">
        <w:rPr>
          <w:rFonts w:ascii="Times New Roman" w:hAnsi="Times New Roman" w:cs="Times New Roman"/>
          <w:color w:val="000000" w:themeColor="text1"/>
          <w:sz w:val="24"/>
          <w:szCs w:val="24"/>
        </w:rPr>
        <w:t>51</w:t>
      </w:r>
      <w:r w:rsidRPr="00E80C59">
        <w:rPr>
          <w:rFonts w:ascii="Times New Roman" w:hAnsi="Times New Roman" w:cs="Times New Roman"/>
          <w:color w:val="000000" w:themeColor="text1"/>
          <w:sz w:val="24"/>
          <w:szCs w:val="24"/>
        </w:rPr>
        <w:t>,000</w:t>
      </w:r>
      <w:r w:rsidRPr="009523CC">
        <w:rPr>
          <w:rFonts w:ascii="Times New Roman" w:hAnsi="Times New Roman" w:cs="Times New Roman"/>
          <w:color w:val="000000" w:themeColor="text1"/>
          <w:sz w:val="24"/>
          <w:szCs w:val="24"/>
        </w:rPr>
        <w:t xml:space="preserve"> in </w:t>
      </w:r>
      <w:r w:rsidR="00E63F5D">
        <w:rPr>
          <w:rFonts w:ascii="Times New Roman" w:hAnsi="Times New Roman" w:cs="Times New Roman"/>
          <w:color w:val="000000" w:themeColor="text1"/>
          <w:sz w:val="24"/>
          <w:szCs w:val="24"/>
        </w:rPr>
        <w:t xml:space="preserve">2020. </w:t>
      </w:r>
    </w:p>
    <w:p w14:paraId="1BBE15E2" w14:textId="35843853" w:rsidR="00A94093" w:rsidRPr="00E0356E" w:rsidRDefault="00A94093" w:rsidP="00A94093">
      <w:pPr>
        <w:rPr>
          <w:rFonts w:ascii="Times New Roman" w:hAnsi="Times New Roman" w:cs="Times New Roman"/>
          <w:b/>
          <w:color w:val="000000" w:themeColor="text1"/>
          <w:sz w:val="24"/>
          <w:szCs w:val="24"/>
        </w:rPr>
      </w:pPr>
      <w:r w:rsidRPr="00E0356E">
        <w:rPr>
          <w:rFonts w:ascii="Times New Roman" w:hAnsi="Times New Roman" w:cs="Times New Roman"/>
          <w:b/>
          <w:color w:val="000000" w:themeColor="text1"/>
          <w:sz w:val="24"/>
          <w:szCs w:val="24"/>
        </w:rPr>
        <w:t>Capital Expenditures (need board approval)</w:t>
      </w:r>
    </w:p>
    <w:p w14:paraId="33C762C7" w14:textId="1880C16C" w:rsidR="00986823" w:rsidRDefault="00986823" w:rsidP="009C70F5">
      <w:pPr>
        <w:pStyle w:val="ListParagraph"/>
        <w:numPr>
          <w:ilvl w:val="1"/>
          <w:numId w:val="4"/>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House behind the casino removed $275</w:t>
      </w:r>
      <w:r w:rsidR="00293F92">
        <w:rPr>
          <w:rFonts w:ascii="Times New Roman" w:hAnsi="Times New Roman" w:cs="Times New Roman"/>
          <w:color w:val="000000" w:themeColor="text1"/>
          <w:sz w:val="24"/>
          <w:szCs w:val="24"/>
        </w:rPr>
        <w:t>K</w:t>
      </w:r>
    </w:p>
    <w:p w14:paraId="2E6FBCA3" w14:textId="6A6A88E9" w:rsidR="00A6318B" w:rsidRPr="00E0356E" w:rsidRDefault="00A6318B" w:rsidP="009C70F5">
      <w:pPr>
        <w:pStyle w:val="ListParagraph"/>
        <w:numPr>
          <w:ilvl w:val="1"/>
          <w:numId w:val="4"/>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Update Surveillance Equipment $</w:t>
      </w:r>
      <w:r w:rsidR="00237D33">
        <w:rPr>
          <w:rFonts w:ascii="Times New Roman" w:hAnsi="Times New Roman" w:cs="Times New Roman"/>
          <w:color w:val="000000" w:themeColor="text1"/>
          <w:sz w:val="24"/>
          <w:szCs w:val="24"/>
        </w:rPr>
        <w:t>1</w:t>
      </w:r>
      <w:r w:rsidR="00293F92">
        <w:rPr>
          <w:rFonts w:ascii="Times New Roman" w:hAnsi="Times New Roman" w:cs="Times New Roman"/>
          <w:color w:val="000000" w:themeColor="text1"/>
          <w:sz w:val="24"/>
          <w:szCs w:val="24"/>
        </w:rPr>
        <w:t>50</w:t>
      </w:r>
      <w:r>
        <w:rPr>
          <w:rFonts w:ascii="Times New Roman" w:hAnsi="Times New Roman" w:cs="Times New Roman"/>
          <w:color w:val="000000" w:themeColor="text1"/>
          <w:sz w:val="24"/>
          <w:szCs w:val="24"/>
        </w:rPr>
        <w:t>k</w:t>
      </w:r>
    </w:p>
    <w:p w14:paraId="0FA47A42" w14:textId="43C0DA7C" w:rsidR="001639BA" w:rsidRDefault="0032784B" w:rsidP="009C70F5">
      <w:pPr>
        <w:pStyle w:val="ListParagraph"/>
        <w:numPr>
          <w:ilvl w:val="1"/>
          <w:numId w:val="4"/>
        </w:numPr>
        <w:spacing w:after="0"/>
        <w:rPr>
          <w:rFonts w:ascii="Times New Roman" w:hAnsi="Times New Roman" w:cs="Times New Roman"/>
          <w:color w:val="000000" w:themeColor="text1"/>
          <w:sz w:val="24"/>
          <w:szCs w:val="24"/>
        </w:rPr>
      </w:pPr>
      <w:r w:rsidRPr="00E0356E">
        <w:rPr>
          <w:rFonts w:ascii="Times New Roman" w:hAnsi="Times New Roman" w:cs="Times New Roman"/>
          <w:color w:val="000000" w:themeColor="text1"/>
          <w:sz w:val="24"/>
          <w:szCs w:val="24"/>
        </w:rPr>
        <w:t xml:space="preserve">Software and </w:t>
      </w:r>
      <w:r w:rsidR="001639BA" w:rsidRPr="00E0356E">
        <w:rPr>
          <w:rFonts w:ascii="Times New Roman" w:hAnsi="Times New Roman" w:cs="Times New Roman"/>
          <w:color w:val="000000" w:themeColor="text1"/>
          <w:sz w:val="24"/>
          <w:szCs w:val="24"/>
        </w:rPr>
        <w:t>Equipment $</w:t>
      </w:r>
      <w:r w:rsidR="002D74FC" w:rsidRPr="00E0356E">
        <w:rPr>
          <w:rFonts w:ascii="Times New Roman" w:hAnsi="Times New Roman" w:cs="Times New Roman"/>
          <w:color w:val="000000" w:themeColor="text1"/>
          <w:sz w:val="24"/>
          <w:szCs w:val="24"/>
        </w:rPr>
        <w:t>1</w:t>
      </w:r>
      <w:r w:rsidR="00237D33">
        <w:rPr>
          <w:rFonts w:ascii="Times New Roman" w:hAnsi="Times New Roman" w:cs="Times New Roman"/>
          <w:color w:val="000000" w:themeColor="text1"/>
          <w:sz w:val="24"/>
          <w:szCs w:val="24"/>
        </w:rPr>
        <w:t>25</w:t>
      </w:r>
      <w:r w:rsidR="001639BA" w:rsidRPr="00E0356E">
        <w:rPr>
          <w:rFonts w:ascii="Times New Roman" w:hAnsi="Times New Roman" w:cs="Times New Roman"/>
          <w:color w:val="000000" w:themeColor="text1"/>
          <w:sz w:val="24"/>
          <w:szCs w:val="24"/>
        </w:rPr>
        <w:t>K</w:t>
      </w:r>
    </w:p>
    <w:p w14:paraId="33F2DC91" w14:textId="77777777" w:rsidR="00E0356E" w:rsidRPr="00E0356E" w:rsidRDefault="00E0356E" w:rsidP="00A6318B">
      <w:pPr>
        <w:pStyle w:val="ListParagraph"/>
        <w:spacing w:after="0"/>
        <w:ind w:left="1440"/>
        <w:rPr>
          <w:rFonts w:ascii="Times New Roman" w:hAnsi="Times New Roman" w:cs="Times New Roman"/>
          <w:color w:val="000000" w:themeColor="text1"/>
          <w:sz w:val="24"/>
          <w:szCs w:val="24"/>
        </w:rPr>
      </w:pPr>
    </w:p>
    <w:sectPr w:rsidR="00E0356E" w:rsidRPr="00E0356E" w:rsidSect="00460119">
      <w:headerReference w:type="default" r:id="rId12"/>
      <w:pgSz w:w="12240" w:h="15840"/>
      <w:pgMar w:top="1080" w:right="108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4FF91" w14:textId="77777777" w:rsidR="00694874" w:rsidRDefault="00694874" w:rsidP="00665836">
      <w:pPr>
        <w:spacing w:after="0" w:line="240" w:lineRule="auto"/>
      </w:pPr>
      <w:r>
        <w:separator/>
      </w:r>
    </w:p>
  </w:endnote>
  <w:endnote w:type="continuationSeparator" w:id="0">
    <w:p w14:paraId="79D0B6C4" w14:textId="77777777" w:rsidR="00694874" w:rsidRDefault="00694874" w:rsidP="0066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993CE" w14:textId="77777777" w:rsidR="00694874" w:rsidRDefault="00694874" w:rsidP="00665836">
      <w:pPr>
        <w:spacing w:after="0" w:line="240" w:lineRule="auto"/>
      </w:pPr>
      <w:r>
        <w:separator/>
      </w:r>
    </w:p>
  </w:footnote>
  <w:footnote w:type="continuationSeparator" w:id="0">
    <w:p w14:paraId="08C498DC" w14:textId="77777777" w:rsidR="00694874" w:rsidRDefault="00694874" w:rsidP="00665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619694"/>
      <w:docPartObj>
        <w:docPartGallery w:val="Watermarks"/>
        <w:docPartUnique/>
      </w:docPartObj>
    </w:sdtPr>
    <w:sdtEndPr/>
    <w:sdtContent>
      <w:p w14:paraId="6E1A866D" w14:textId="77777777" w:rsidR="00950749" w:rsidRDefault="00694874">
        <w:pPr>
          <w:pStyle w:val="Header"/>
        </w:pPr>
        <w:r>
          <w:rPr>
            <w:noProof/>
            <w:lang w:eastAsia="zh-TW"/>
          </w:rPr>
          <w:pict w14:anchorId="60FDE5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8603B"/>
    <w:multiLevelType w:val="hybridMultilevel"/>
    <w:tmpl w:val="F328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B10A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9AD257D"/>
    <w:multiLevelType w:val="hybridMultilevel"/>
    <w:tmpl w:val="56B61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D6CF0"/>
    <w:multiLevelType w:val="hybridMultilevel"/>
    <w:tmpl w:val="EBDE4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13BCA"/>
    <w:multiLevelType w:val="hybridMultilevel"/>
    <w:tmpl w:val="CE88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C"/>
    <w:rsid w:val="00000242"/>
    <w:rsid w:val="00010928"/>
    <w:rsid w:val="00011517"/>
    <w:rsid w:val="00030CC9"/>
    <w:rsid w:val="00032458"/>
    <w:rsid w:val="000471A2"/>
    <w:rsid w:val="00061E5B"/>
    <w:rsid w:val="000755DC"/>
    <w:rsid w:val="0008502C"/>
    <w:rsid w:val="00087701"/>
    <w:rsid w:val="00090A0C"/>
    <w:rsid w:val="00094B68"/>
    <w:rsid w:val="000A0DEF"/>
    <w:rsid w:val="000A582A"/>
    <w:rsid w:val="000B4336"/>
    <w:rsid w:val="000C778D"/>
    <w:rsid w:val="000E06A1"/>
    <w:rsid w:val="000E33F5"/>
    <w:rsid w:val="000F4161"/>
    <w:rsid w:val="00102D26"/>
    <w:rsid w:val="001105C7"/>
    <w:rsid w:val="00110736"/>
    <w:rsid w:val="00112D1A"/>
    <w:rsid w:val="001248CB"/>
    <w:rsid w:val="00125348"/>
    <w:rsid w:val="00130CD1"/>
    <w:rsid w:val="00131756"/>
    <w:rsid w:val="001450A6"/>
    <w:rsid w:val="0014694A"/>
    <w:rsid w:val="001639BA"/>
    <w:rsid w:val="0017146F"/>
    <w:rsid w:val="0017612E"/>
    <w:rsid w:val="001855D7"/>
    <w:rsid w:val="00186ACF"/>
    <w:rsid w:val="00192CF8"/>
    <w:rsid w:val="00192FE2"/>
    <w:rsid w:val="001A3579"/>
    <w:rsid w:val="001B06E7"/>
    <w:rsid w:val="001B1B01"/>
    <w:rsid w:val="001B3CD1"/>
    <w:rsid w:val="001C6A12"/>
    <w:rsid w:val="001C7032"/>
    <w:rsid w:val="001D1723"/>
    <w:rsid w:val="001D30BE"/>
    <w:rsid w:val="001F07EB"/>
    <w:rsid w:val="001F2395"/>
    <w:rsid w:val="001F77E6"/>
    <w:rsid w:val="00205537"/>
    <w:rsid w:val="00206B0E"/>
    <w:rsid w:val="00206DFD"/>
    <w:rsid w:val="0020702C"/>
    <w:rsid w:val="00222424"/>
    <w:rsid w:val="00223061"/>
    <w:rsid w:val="00224EED"/>
    <w:rsid w:val="00230781"/>
    <w:rsid w:val="00233027"/>
    <w:rsid w:val="00237D33"/>
    <w:rsid w:val="002440A1"/>
    <w:rsid w:val="002446C3"/>
    <w:rsid w:val="00244702"/>
    <w:rsid w:val="002464F4"/>
    <w:rsid w:val="00246ECB"/>
    <w:rsid w:val="0024767E"/>
    <w:rsid w:val="002535E7"/>
    <w:rsid w:val="002611BD"/>
    <w:rsid w:val="00265878"/>
    <w:rsid w:val="00265B3C"/>
    <w:rsid w:val="00266980"/>
    <w:rsid w:val="00271509"/>
    <w:rsid w:val="0027692D"/>
    <w:rsid w:val="002770B1"/>
    <w:rsid w:val="002909FC"/>
    <w:rsid w:val="00293F92"/>
    <w:rsid w:val="00295E1B"/>
    <w:rsid w:val="00297350"/>
    <w:rsid w:val="002A05D2"/>
    <w:rsid w:val="002A6E71"/>
    <w:rsid w:val="002B51CA"/>
    <w:rsid w:val="002C6FA8"/>
    <w:rsid w:val="002D38A3"/>
    <w:rsid w:val="002D74FC"/>
    <w:rsid w:val="002E7F27"/>
    <w:rsid w:val="002F4700"/>
    <w:rsid w:val="002F6505"/>
    <w:rsid w:val="002F7FA7"/>
    <w:rsid w:val="00302E26"/>
    <w:rsid w:val="003131E0"/>
    <w:rsid w:val="00321456"/>
    <w:rsid w:val="00323EB9"/>
    <w:rsid w:val="0032784B"/>
    <w:rsid w:val="00336F7E"/>
    <w:rsid w:val="00343714"/>
    <w:rsid w:val="00351077"/>
    <w:rsid w:val="00354EC0"/>
    <w:rsid w:val="00361460"/>
    <w:rsid w:val="00373810"/>
    <w:rsid w:val="003810BD"/>
    <w:rsid w:val="0038715A"/>
    <w:rsid w:val="00390D7B"/>
    <w:rsid w:val="0039714A"/>
    <w:rsid w:val="003A0337"/>
    <w:rsid w:val="003C1A7B"/>
    <w:rsid w:val="003C3F8C"/>
    <w:rsid w:val="003C4561"/>
    <w:rsid w:val="003D1FA5"/>
    <w:rsid w:val="004012AB"/>
    <w:rsid w:val="00431E07"/>
    <w:rsid w:val="0044168A"/>
    <w:rsid w:val="00445AC8"/>
    <w:rsid w:val="00446C8D"/>
    <w:rsid w:val="00460119"/>
    <w:rsid w:val="00463EF1"/>
    <w:rsid w:val="004928DA"/>
    <w:rsid w:val="004A1702"/>
    <w:rsid w:val="004A4956"/>
    <w:rsid w:val="004A5B37"/>
    <w:rsid w:val="004B3F97"/>
    <w:rsid w:val="004C13FC"/>
    <w:rsid w:val="004C3C1C"/>
    <w:rsid w:val="004C4D85"/>
    <w:rsid w:val="004C56DB"/>
    <w:rsid w:val="004F17A8"/>
    <w:rsid w:val="004F5014"/>
    <w:rsid w:val="004F6A57"/>
    <w:rsid w:val="004F6CF5"/>
    <w:rsid w:val="0053228F"/>
    <w:rsid w:val="005368F2"/>
    <w:rsid w:val="0054445F"/>
    <w:rsid w:val="00565C22"/>
    <w:rsid w:val="00571FE1"/>
    <w:rsid w:val="00572BBD"/>
    <w:rsid w:val="00573FD9"/>
    <w:rsid w:val="00577620"/>
    <w:rsid w:val="005857D3"/>
    <w:rsid w:val="00593E10"/>
    <w:rsid w:val="0059424B"/>
    <w:rsid w:val="00594F55"/>
    <w:rsid w:val="00595FBC"/>
    <w:rsid w:val="005A14BD"/>
    <w:rsid w:val="005A61ED"/>
    <w:rsid w:val="005B1818"/>
    <w:rsid w:val="005B2F11"/>
    <w:rsid w:val="005B4DD4"/>
    <w:rsid w:val="005C0F76"/>
    <w:rsid w:val="005C12EB"/>
    <w:rsid w:val="005C3107"/>
    <w:rsid w:val="005D18DF"/>
    <w:rsid w:val="005E4DDD"/>
    <w:rsid w:val="0060273E"/>
    <w:rsid w:val="00604474"/>
    <w:rsid w:val="00610B04"/>
    <w:rsid w:val="006115E7"/>
    <w:rsid w:val="006128C8"/>
    <w:rsid w:val="006332C4"/>
    <w:rsid w:val="006417AE"/>
    <w:rsid w:val="00643791"/>
    <w:rsid w:val="00665836"/>
    <w:rsid w:val="006754A9"/>
    <w:rsid w:val="00676094"/>
    <w:rsid w:val="006802FF"/>
    <w:rsid w:val="00694874"/>
    <w:rsid w:val="006A660D"/>
    <w:rsid w:val="006B3D19"/>
    <w:rsid w:val="006C2C8B"/>
    <w:rsid w:val="006D1D81"/>
    <w:rsid w:val="006D2D33"/>
    <w:rsid w:val="006E68F0"/>
    <w:rsid w:val="006E6D07"/>
    <w:rsid w:val="006F24AF"/>
    <w:rsid w:val="00706BB5"/>
    <w:rsid w:val="007108F1"/>
    <w:rsid w:val="00721C1F"/>
    <w:rsid w:val="0072266A"/>
    <w:rsid w:val="00726146"/>
    <w:rsid w:val="0073786F"/>
    <w:rsid w:val="00737DBE"/>
    <w:rsid w:val="0074534E"/>
    <w:rsid w:val="007710DB"/>
    <w:rsid w:val="00773C69"/>
    <w:rsid w:val="00777ECB"/>
    <w:rsid w:val="0079068E"/>
    <w:rsid w:val="00796349"/>
    <w:rsid w:val="007A7C47"/>
    <w:rsid w:val="007B00C9"/>
    <w:rsid w:val="007B0E79"/>
    <w:rsid w:val="007D6344"/>
    <w:rsid w:val="007E0293"/>
    <w:rsid w:val="007E3285"/>
    <w:rsid w:val="007E591A"/>
    <w:rsid w:val="007E6F23"/>
    <w:rsid w:val="007F4A7F"/>
    <w:rsid w:val="00803CE4"/>
    <w:rsid w:val="008208C6"/>
    <w:rsid w:val="00822608"/>
    <w:rsid w:val="00827066"/>
    <w:rsid w:val="00836E7E"/>
    <w:rsid w:val="008431BA"/>
    <w:rsid w:val="00850010"/>
    <w:rsid w:val="00863E2C"/>
    <w:rsid w:val="008667FA"/>
    <w:rsid w:val="0087099E"/>
    <w:rsid w:val="0088125F"/>
    <w:rsid w:val="00883100"/>
    <w:rsid w:val="008904CE"/>
    <w:rsid w:val="00892072"/>
    <w:rsid w:val="00893624"/>
    <w:rsid w:val="008B05AF"/>
    <w:rsid w:val="008B7144"/>
    <w:rsid w:val="008C5CD0"/>
    <w:rsid w:val="008C6EFF"/>
    <w:rsid w:val="008C7A51"/>
    <w:rsid w:val="008D54E0"/>
    <w:rsid w:val="008E0008"/>
    <w:rsid w:val="008E7244"/>
    <w:rsid w:val="008F6B0C"/>
    <w:rsid w:val="00904ABE"/>
    <w:rsid w:val="009052D9"/>
    <w:rsid w:val="00907D23"/>
    <w:rsid w:val="00913BFF"/>
    <w:rsid w:val="0091781F"/>
    <w:rsid w:val="00920F19"/>
    <w:rsid w:val="009228EC"/>
    <w:rsid w:val="00930BD4"/>
    <w:rsid w:val="009339A5"/>
    <w:rsid w:val="0093653C"/>
    <w:rsid w:val="0093704D"/>
    <w:rsid w:val="009401C9"/>
    <w:rsid w:val="00950749"/>
    <w:rsid w:val="009523CC"/>
    <w:rsid w:val="00965368"/>
    <w:rsid w:val="00967B8F"/>
    <w:rsid w:val="00970B9A"/>
    <w:rsid w:val="00981323"/>
    <w:rsid w:val="009816F8"/>
    <w:rsid w:val="00986823"/>
    <w:rsid w:val="00987896"/>
    <w:rsid w:val="00991311"/>
    <w:rsid w:val="009975A9"/>
    <w:rsid w:val="009A254A"/>
    <w:rsid w:val="009A36E5"/>
    <w:rsid w:val="009A5866"/>
    <w:rsid w:val="009C70F5"/>
    <w:rsid w:val="009D4D8B"/>
    <w:rsid w:val="009D7D69"/>
    <w:rsid w:val="009F098B"/>
    <w:rsid w:val="00A1676B"/>
    <w:rsid w:val="00A20B47"/>
    <w:rsid w:val="00A22912"/>
    <w:rsid w:val="00A4125B"/>
    <w:rsid w:val="00A46B98"/>
    <w:rsid w:val="00A5031C"/>
    <w:rsid w:val="00A57157"/>
    <w:rsid w:val="00A61BBE"/>
    <w:rsid w:val="00A6318B"/>
    <w:rsid w:val="00A63EDD"/>
    <w:rsid w:val="00A64AA6"/>
    <w:rsid w:val="00A868A9"/>
    <w:rsid w:val="00A94093"/>
    <w:rsid w:val="00A94102"/>
    <w:rsid w:val="00A97792"/>
    <w:rsid w:val="00AA604C"/>
    <w:rsid w:val="00AB4234"/>
    <w:rsid w:val="00AB4ABC"/>
    <w:rsid w:val="00AC027D"/>
    <w:rsid w:val="00AC7D6F"/>
    <w:rsid w:val="00AD3590"/>
    <w:rsid w:val="00AD7AF8"/>
    <w:rsid w:val="00AF0B62"/>
    <w:rsid w:val="00B033E9"/>
    <w:rsid w:val="00B10418"/>
    <w:rsid w:val="00B116CA"/>
    <w:rsid w:val="00B24503"/>
    <w:rsid w:val="00B31633"/>
    <w:rsid w:val="00B3774B"/>
    <w:rsid w:val="00B4195D"/>
    <w:rsid w:val="00B531A9"/>
    <w:rsid w:val="00B538BC"/>
    <w:rsid w:val="00B765BF"/>
    <w:rsid w:val="00B81FEA"/>
    <w:rsid w:val="00B912E1"/>
    <w:rsid w:val="00B91534"/>
    <w:rsid w:val="00B9385A"/>
    <w:rsid w:val="00B97752"/>
    <w:rsid w:val="00BB60F7"/>
    <w:rsid w:val="00BC15C0"/>
    <w:rsid w:val="00BC2CCA"/>
    <w:rsid w:val="00BD31A0"/>
    <w:rsid w:val="00BE6413"/>
    <w:rsid w:val="00BF2008"/>
    <w:rsid w:val="00BF275D"/>
    <w:rsid w:val="00C03295"/>
    <w:rsid w:val="00C034C1"/>
    <w:rsid w:val="00C059D2"/>
    <w:rsid w:val="00C17BA4"/>
    <w:rsid w:val="00C210F7"/>
    <w:rsid w:val="00C2265C"/>
    <w:rsid w:val="00C32A96"/>
    <w:rsid w:val="00C34420"/>
    <w:rsid w:val="00C41BA8"/>
    <w:rsid w:val="00C56D97"/>
    <w:rsid w:val="00C73E7E"/>
    <w:rsid w:val="00C7470C"/>
    <w:rsid w:val="00C93B8B"/>
    <w:rsid w:val="00C9690D"/>
    <w:rsid w:val="00C97A92"/>
    <w:rsid w:val="00CA4D64"/>
    <w:rsid w:val="00CA5726"/>
    <w:rsid w:val="00CA5D0C"/>
    <w:rsid w:val="00CB4119"/>
    <w:rsid w:val="00CB5B06"/>
    <w:rsid w:val="00CC583B"/>
    <w:rsid w:val="00CD1603"/>
    <w:rsid w:val="00CD1CA6"/>
    <w:rsid w:val="00CD5ADA"/>
    <w:rsid w:val="00D01C8B"/>
    <w:rsid w:val="00D025D3"/>
    <w:rsid w:val="00D11BAF"/>
    <w:rsid w:val="00D20C9D"/>
    <w:rsid w:val="00D24919"/>
    <w:rsid w:val="00D27F08"/>
    <w:rsid w:val="00D31731"/>
    <w:rsid w:val="00D40F13"/>
    <w:rsid w:val="00D436AE"/>
    <w:rsid w:val="00D53FB9"/>
    <w:rsid w:val="00D54272"/>
    <w:rsid w:val="00D57609"/>
    <w:rsid w:val="00D64798"/>
    <w:rsid w:val="00D724E7"/>
    <w:rsid w:val="00D73836"/>
    <w:rsid w:val="00D852D4"/>
    <w:rsid w:val="00D85A24"/>
    <w:rsid w:val="00D874D2"/>
    <w:rsid w:val="00D90ECC"/>
    <w:rsid w:val="00DA0F4E"/>
    <w:rsid w:val="00DA6B09"/>
    <w:rsid w:val="00DB3ABB"/>
    <w:rsid w:val="00DB70CA"/>
    <w:rsid w:val="00DC248D"/>
    <w:rsid w:val="00DD233E"/>
    <w:rsid w:val="00DD7364"/>
    <w:rsid w:val="00DE1A7A"/>
    <w:rsid w:val="00DE32BE"/>
    <w:rsid w:val="00DE62E3"/>
    <w:rsid w:val="00DF32FC"/>
    <w:rsid w:val="00DF621A"/>
    <w:rsid w:val="00E0356E"/>
    <w:rsid w:val="00E055DF"/>
    <w:rsid w:val="00E070D5"/>
    <w:rsid w:val="00E10278"/>
    <w:rsid w:val="00E21933"/>
    <w:rsid w:val="00E2374A"/>
    <w:rsid w:val="00E4727B"/>
    <w:rsid w:val="00E47AED"/>
    <w:rsid w:val="00E5285F"/>
    <w:rsid w:val="00E63F5D"/>
    <w:rsid w:val="00E73D9C"/>
    <w:rsid w:val="00E80C59"/>
    <w:rsid w:val="00E90B36"/>
    <w:rsid w:val="00E95FBF"/>
    <w:rsid w:val="00E971CC"/>
    <w:rsid w:val="00E97C78"/>
    <w:rsid w:val="00EB3713"/>
    <w:rsid w:val="00EB5C89"/>
    <w:rsid w:val="00ED0029"/>
    <w:rsid w:val="00ED1166"/>
    <w:rsid w:val="00ED4FBD"/>
    <w:rsid w:val="00ED6ABF"/>
    <w:rsid w:val="00EF12E4"/>
    <w:rsid w:val="00F01354"/>
    <w:rsid w:val="00F07391"/>
    <w:rsid w:val="00F223F0"/>
    <w:rsid w:val="00F43EC8"/>
    <w:rsid w:val="00F52886"/>
    <w:rsid w:val="00F679BC"/>
    <w:rsid w:val="00F81CE0"/>
    <w:rsid w:val="00FA4326"/>
    <w:rsid w:val="00FA6D4E"/>
    <w:rsid w:val="00FA7F75"/>
    <w:rsid w:val="00FB2673"/>
    <w:rsid w:val="00FB34C6"/>
    <w:rsid w:val="00FC5FDA"/>
    <w:rsid w:val="00FE1093"/>
    <w:rsid w:val="00FE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8D8EE3"/>
  <w15:docId w15:val="{CB1E2E9B-5336-4FFD-ADC4-25307EE7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7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32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AA604C"/>
    <w:pPr>
      <w:spacing w:before="100" w:beforeAutospacing="1" w:after="100" w:afterAutospacing="1" w:line="240" w:lineRule="auto"/>
    </w:pPr>
    <w:rPr>
      <w:rFonts w:ascii="Arial" w:eastAsia="Times New Roman" w:hAnsi="Arial" w:cs="Arial"/>
      <w:b/>
      <w:bCs/>
      <w:sz w:val="24"/>
      <w:szCs w:val="24"/>
    </w:rPr>
  </w:style>
  <w:style w:type="paragraph" w:customStyle="1" w:styleId="style5">
    <w:name w:val="style5"/>
    <w:basedOn w:val="Normal"/>
    <w:rsid w:val="00AA604C"/>
    <w:pPr>
      <w:spacing w:before="100" w:beforeAutospacing="1" w:after="100" w:afterAutospacing="1" w:line="240" w:lineRule="auto"/>
      <w:jc w:val="center"/>
    </w:pPr>
    <w:rPr>
      <w:rFonts w:ascii="Arial" w:eastAsia="Times New Roman" w:hAnsi="Arial" w:cs="Arial"/>
      <w:b/>
      <w:bCs/>
      <w:sz w:val="24"/>
      <w:szCs w:val="24"/>
    </w:rPr>
  </w:style>
  <w:style w:type="paragraph" w:styleId="NormalWeb">
    <w:name w:val="Normal (Web)"/>
    <w:basedOn w:val="Normal"/>
    <w:uiPriority w:val="99"/>
    <w:unhideWhenUsed/>
    <w:rsid w:val="00AA604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0A582A"/>
    <w:pPr>
      <w:spacing w:after="0" w:line="240" w:lineRule="auto"/>
      <w:ind w:left="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0A582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65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836"/>
    <w:rPr>
      <w:sz w:val="20"/>
      <w:szCs w:val="20"/>
    </w:rPr>
  </w:style>
  <w:style w:type="character" w:styleId="FootnoteReference">
    <w:name w:val="footnote reference"/>
    <w:basedOn w:val="DefaultParagraphFont"/>
    <w:uiPriority w:val="99"/>
    <w:semiHidden/>
    <w:unhideWhenUsed/>
    <w:rsid w:val="00665836"/>
    <w:rPr>
      <w:vertAlign w:val="superscript"/>
    </w:rPr>
  </w:style>
  <w:style w:type="character" w:customStyle="1" w:styleId="Heading1Char">
    <w:name w:val="Heading 1 Char"/>
    <w:basedOn w:val="DefaultParagraphFont"/>
    <w:link w:val="Heading1"/>
    <w:uiPriority w:val="9"/>
    <w:rsid w:val="0095074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50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49"/>
    <w:rPr>
      <w:rFonts w:ascii="Tahoma" w:hAnsi="Tahoma" w:cs="Tahoma"/>
      <w:sz w:val="16"/>
      <w:szCs w:val="16"/>
    </w:rPr>
  </w:style>
  <w:style w:type="paragraph" w:styleId="Header">
    <w:name w:val="header"/>
    <w:basedOn w:val="Normal"/>
    <w:link w:val="HeaderChar"/>
    <w:uiPriority w:val="99"/>
    <w:unhideWhenUsed/>
    <w:rsid w:val="0095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749"/>
  </w:style>
  <w:style w:type="paragraph" w:styleId="Footer">
    <w:name w:val="footer"/>
    <w:basedOn w:val="Normal"/>
    <w:link w:val="FooterChar"/>
    <w:uiPriority w:val="99"/>
    <w:unhideWhenUsed/>
    <w:rsid w:val="0095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749"/>
  </w:style>
  <w:style w:type="paragraph" w:customStyle="1" w:styleId="newstextlead-in">
    <w:name w:val="newstext_lead-in"/>
    <w:basedOn w:val="Normal"/>
    <w:rsid w:val="001248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xt">
    <w:name w:val="newstext"/>
    <w:basedOn w:val="Normal"/>
    <w:rsid w:val="001248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xteditorsnote">
    <w:name w:val="newstext_editor's_note"/>
    <w:basedOn w:val="Normal"/>
    <w:rsid w:val="00124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332C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332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32C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A05D2"/>
    <w:pPr>
      <w:ind w:left="720"/>
      <w:contextualSpacing/>
    </w:pPr>
  </w:style>
  <w:style w:type="character" w:styleId="Hyperlink">
    <w:name w:val="Hyperlink"/>
    <w:basedOn w:val="DefaultParagraphFont"/>
    <w:uiPriority w:val="99"/>
    <w:unhideWhenUsed/>
    <w:rsid w:val="004601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5570">
      <w:bodyDiv w:val="1"/>
      <w:marLeft w:val="0"/>
      <w:marRight w:val="0"/>
      <w:marTop w:val="0"/>
      <w:marBottom w:val="0"/>
      <w:divBdr>
        <w:top w:val="none" w:sz="0" w:space="0" w:color="auto"/>
        <w:left w:val="none" w:sz="0" w:space="0" w:color="auto"/>
        <w:bottom w:val="none" w:sz="0" w:space="0" w:color="auto"/>
        <w:right w:val="none" w:sz="0" w:space="0" w:color="auto"/>
      </w:divBdr>
    </w:div>
    <w:div w:id="205528210">
      <w:bodyDiv w:val="1"/>
      <w:marLeft w:val="0"/>
      <w:marRight w:val="0"/>
      <w:marTop w:val="0"/>
      <w:marBottom w:val="0"/>
      <w:divBdr>
        <w:top w:val="none" w:sz="0" w:space="0" w:color="auto"/>
        <w:left w:val="none" w:sz="0" w:space="0" w:color="auto"/>
        <w:bottom w:val="none" w:sz="0" w:space="0" w:color="auto"/>
        <w:right w:val="none" w:sz="0" w:space="0" w:color="auto"/>
      </w:divBdr>
    </w:div>
    <w:div w:id="209919830">
      <w:bodyDiv w:val="1"/>
      <w:marLeft w:val="0"/>
      <w:marRight w:val="0"/>
      <w:marTop w:val="0"/>
      <w:marBottom w:val="0"/>
      <w:divBdr>
        <w:top w:val="none" w:sz="0" w:space="0" w:color="auto"/>
        <w:left w:val="none" w:sz="0" w:space="0" w:color="auto"/>
        <w:bottom w:val="none" w:sz="0" w:space="0" w:color="auto"/>
        <w:right w:val="none" w:sz="0" w:space="0" w:color="auto"/>
      </w:divBdr>
    </w:div>
    <w:div w:id="224224556">
      <w:bodyDiv w:val="1"/>
      <w:marLeft w:val="0"/>
      <w:marRight w:val="0"/>
      <w:marTop w:val="0"/>
      <w:marBottom w:val="0"/>
      <w:divBdr>
        <w:top w:val="none" w:sz="0" w:space="0" w:color="auto"/>
        <w:left w:val="none" w:sz="0" w:space="0" w:color="auto"/>
        <w:bottom w:val="none" w:sz="0" w:space="0" w:color="auto"/>
        <w:right w:val="none" w:sz="0" w:space="0" w:color="auto"/>
      </w:divBdr>
    </w:div>
    <w:div w:id="245845119">
      <w:bodyDiv w:val="1"/>
      <w:marLeft w:val="0"/>
      <w:marRight w:val="0"/>
      <w:marTop w:val="0"/>
      <w:marBottom w:val="0"/>
      <w:divBdr>
        <w:top w:val="none" w:sz="0" w:space="0" w:color="auto"/>
        <w:left w:val="none" w:sz="0" w:space="0" w:color="auto"/>
        <w:bottom w:val="none" w:sz="0" w:space="0" w:color="auto"/>
        <w:right w:val="none" w:sz="0" w:space="0" w:color="auto"/>
      </w:divBdr>
    </w:div>
    <w:div w:id="437677319">
      <w:bodyDiv w:val="1"/>
      <w:marLeft w:val="0"/>
      <w:marRight w:val="0"/>
      <w:marTop w:val="0"/>
      <w:marBottom w:val="0"/>
      <w:divBdr>
        <w:top w:val="none" w:sz="0" w:space="0" w:color="auto"/>
        <w:left w:val="none" w:sz="0" w:space="0" w:color="auto"/>
        <w:bottom w:val="none" w:sz="0" w:space="0" w:color="auto"/>
        <w:right w:val="none" w:sz="0" w:space="0" w:color="auto"/>
      </w:divBdr>
    </w:div>
    <w:div w:id="454715347">
      <w:bodyDiv w:val="1"/>
      <w:marLeft w:val="0"/>
      <w:marRight w:val="0"/>
      <w:marTop w:val="0"/>
      <w:marBottom w:val="0"/>
      <w:divBdr>
        <w:top w:val="none" w:sz="0" w:space="0" w:color="auto"/>
        <w:left w:val="none" w:sz="0" w:space="0" w:color="auto"/>
        <w:bottom w:val="none" w:sz="0" w:space="0" w:color="auto"/>
        <w:right w:val="none" w:sz="0" w:space="0" w:color="auto"/>
      </w:divBdr>
    </w:div>
    <w:div w:id="463738955">
      <w:bodyDiv w:val="1"/>
      <w:marLeft w:val="0"/>
      <w:marRight w:val="0"/>
      <w:marTop w:val="0"/>
      <w:marBottom w:val="0"/>
      <w:divBdr>
        <w:top w:val="none" w:sz="0" w:space="0" w:color="auto"/>
        <w:left w:val="none" w:sz="0" w:space="0" w:color="auto"/>
        <w:bottom w:val="none" w:sz="0" w:space="0" w:color="auto"/>
        <w:right w:val="none" w:sz="0" w:space="0" w:color="auto"/>
      </w:divBdr>
    </w:div>
    <w:div w:id="489255486">
      <w:bodyDiv w:val="1"/>
      <w:marLeft w:val="0"/>
      <w:marRight w:val="0"/>
      <w:marTop w:val="0"/>
      <w:marBottom w:val="0"/>
      <w:divBdr>
        <w:top w:val="none" w:sz="0" w:space="0" w:color="auto"/>
        <w:left w:val="none" w:sz="0" w:space="0" w:color="auto"/>
        <w:bottom w:val="none" w:sz="0" w:space="0" w:color="auto"/>
        <w:right w:val="none" w:sz="0" w:space="0" w:color="auto"/>
      </w:divBdr>
    </w:div>
    <w:div w:id="544759552">
      <w:bodyDiv w:val="1"/>
      <w:marLeft w:val="0"/>
      <w:marRight w:val="0"/>
      <w:marTop w:val="0"/>
      <w:marBottom w:val="0"/>
      <w:divBdr>
        <w:top w:val="none" w:sz="0" w:space="0" w:color="auto"/>
        <w:left w:val="none" w:sz="0" w:space="0" w:color="auto"/>
        <w:bottom w:val="none" w:sz="0" w:space="0" w:color="auto"/>
        <w:right w:val="none" w:sz="0" w:space="0" w:color="auto"/>
      </w:divBdr>
    </w:div>
    <w:div w:id="618995194">
      <w:bodyDiv w:val="1"/>
      <w:marLeft w:val="0"/>
      <w:marRight w:val="0"/>
      <w:marTop w:val="0"/>
      <w:marBottom w:val="0"/>
      <w:divBdr>
        <w:top w:val="none" w:sz="0" w:space="0" w:color="auto"/>
        <w:left w:val="none" w:sz="0" w:space="0" w:color="auto"/>
        <w:bottom w:val="none" w:sz="0" w:space="0" w:color="auto"/>
        <w:right w:val="none" w:sz="0" w:space="0" w:color="auto"/>
      </w:divBdr>
    </w:div>
    <w:div w:id="656298414">
      <w:bodyDiv w:val="1"/>
      <w:marLeft w:val="0"/>
      <w:marRight w:val="0"/>
      <w:marTop w:val="0"/>
      <w:marBottom w:val="0"/>
      <w:divBdr>
        <w:top w:val="none" w:sz="0" w:space="0" w:color="auto"/>
        <w:left w:val="none" w:sz="0" w:space="0" w:color="auto"/>
        <w:bottom w:val="none" w:sz="0" w:space="0" w:color="auto"/>
        <w:right w:val="none" w:sz="0" w:space="0" w:color="auto"/>
      </w:divBdr>
    </w:div>
    <w:div w:id="710810426">
      <w:bodyDiv w:val="1"/>
      <w:marLeft w:val="0"/>
      <w:marRight w:val="0"/>
      <w:marTop w:val="0"/>
      <w:marBottom w:val="0"/>
      <w:divBdr>
        <w:top w:val="none" w:sz="0" w:space="0" w:color="auto"/>
        <w:left w:val="none" w:sz="0" w:space="0" w:color="auto"/>
        <w:bottom w:val="none" w:sz="0" w:space="0" w:color="auto"/>
        <w:right w:val="none" w:sz="0" w:space="0" w:color="auto"/>
      </w:divBdr>
    </w:div>
    <w:div w:id="771587786">
      <w:bodyDiv w:val="1"/>
      <w:marLeft w:val="0"/>
      <w:marRight w:val="0"/>
      <w:marTop w:val="0"/>
      <w:marBottom w:val="0"/>
      <w:divBdr>
        <w:top w:val="none" w:sz="0" w:space="0" w:color="auto"/>
        <w:left w:val="none" w:sz="0" w:space="0" w:color="auto"/>
        <w:bottom w:val="none" w:sz="0" w:space="0" w:color="auto"/>
        <w:right w:val="none" w:sz="0" w:space="0" w:color="auto"/>
      </w:divBdr>
    </w:div>
    <w:div w:id="796460180">
      <w:bodyDiv w:val="1"/>
      <w:marLeft w:val="0"/>
      <w:marRight w:val="0"/>
      <w:marTop w:val="0"/>
      <w:marBottom w:val="0"/>
      <w:divBdr>
        <w:top w:val="none" w:sz="0" w:space="0" w:color="auto"/>
        <w:left w:val="none" w:sz="0" w:space="0" w:color="auto"/>
        <w:bottom w:val="none" w:sz="0" w:space="0" w:color="auto"/>
        <w:right w:val="none" w:sz="0" w:space="0" w:color="auto"/>
      </w:divBdr>
    </w:div>
    <w:div w:id="805464392">
      <w:bodyDiv w:val="1"/>
      <w:marLeft w:val="0"/>
      <w:marRight w:val="0"/>
      <w:marTop w:val="0"/>
      <w:marBottom w:val="0"/>
      <w:divBdr>
        <w:top w:val="none" w:sz="0" w:space="0" w:color="auto"/>
        <w:left w:val="none" w:sz="0" w:space="0" w:color="auto"/>
        <w:bottom w:val="none" w:sz="0" w:space="0" w:color="auto"/>
        <w:right w:val="none" w:sz="0" w:space="0" w:color="auto"/>
      </w:divBdr>
    </w:div>
    <w:div w:id="937450726">
      <w:bodyDiv w:val="1"/>
      <w:marLeft w:val="0"/>
      <w:marRight w:val="0"/>
      <w:marTop w:val="0"/>
      <w:marBottom w:val="0"/>
      <w:divBdr>
        <w:top w:val="none" w:sz="0" w:space="0" w:color="auto"/>
        <w:left w:val="none" w:sz="0" w:space="0" w:color="auto"/>
        <w:bottom w:val="none" w:sz="0" w:space="0" w:color="auto"/>
        <w:right w:val="none" w:sz="0" w:space="0" w:color="auto"/>
      </w:divBdr>
    </w:div>
    <w:div w:id="1018963636">
      <w:bodyDiv w:val="1"/>
      <w:marLeft w:val="0"/>
      <w:marRight w:val="0"/>
      <w:marTop w:val="0"/>
      <w:marBottom w:val="0"/>
      <w:divBdr>
        <w:top w:val="none" w:sz="0" w:space="0" w:color="auto"/>
        <w:left w:val="none" w:sz="0" w:space="0" w:color="auto"/>
        <w:bottom w:val="none" w:sz="0" w:space="0" w:color="auto"/>
        <w:right w:val="none" w:sz="0" w:space="0" w:color="auto"/>
      </w:divBdr>
    </w:div>
    <w:div w:id="1099567368">
      <w:bodyDiv w:val="1"/>
      <w:marLeft w:val="0"/>
      <w:marRight w:val="0"/>
      <w:marTop w:val="0"/>
      <w:marBottom w:val="0"/>
      <w:divBdr>
        <w:top w:val="none" w:sz="0" w:space="0" w:color="auto"/>
        <w:left w:val="none" w:sz="0" w:space="0" w:color="auto"/>
        <w:bottom w:val="none" w:sz="0" w:space="0" w:color="auto"/>
        <w:right w:val="none" w:sz="0" w:space="0" w:color="auto"/>
      </w:divBdr>
    </w:div>
    <w:div w:id="1134565144">
      <w:bodyDiv w:val="1"/>
      <w:marLeft w:val="0"/>
      <w:marRight w:val="0"/>
      <w:marTop w:val="0"/>
      <w:marBottom w:val="0"/>
      <w:divBdr>
        <w:top w:val="none" w:sz="0" w:space="0" w:color="auto"/>
        <w:left w:val="none" w:sz="0" w:space="0" w:color="auto"/>
        <w:bottom w:val="none" w:sz="0" w:space="0" w:color="auto"/>
        <w:right w:val="none" w:sz="0" w:space="0" w:color="auto"/>
      </w:divBdr>
    </w:div>
    <w:div w:id="1207986813">
      <w:bodyDiv w:val="1"/>
      <w:marLeft w:val="0"/>
      <w:marRight w:val="0"/>
      <w:marTop w:val="0"/>
      <w:marBottom w:val="0"/>
      <w:divBdr>
        <w:top w:val="none" w:sz="0" w:space="0" w:color="auto"/>
        <w:left w:val="none" w:sz="0" w:space="0" w:color="auto"/>
        <w:bottom w:val="none" w:sz="0" w:space="0" w:color="auto"/>
        <w:right w:val="none" w:sz="0" w:space="0" w:color="auto"/>
      </w:divBdr>
    </w:div>
    <w:div w:id="1242523695">
      <w:bodyDiv w:val="1"/>
      <w:marLeft w:val="0"/>
      <w:marRight w:val="0"/>
      <w:marTop w:val="0"/>
      <w:marBottom w:val="0"/>
      <w:divBdr>
        <w:top w:val="none" w:sz="0" w:space="0" w:color="auto"/>
        <w:left w:val="none" w:sz="0" w:space="0" w:color="auto"/>
        <w:bottom w:val="none" w:sz="0" w:space="0" w:color="auto"/>
        <w:right w:val="none" w:sz="0" w:space="0" w:color="auto"/>
      </w:divBdr>
    </w:div>
    <w:div w:id="1272668630">
      <w:bodyDiv w:val="1"/>
      <w:marLeft w:val="0"/>
      <w:marRight w:val="0"/>
      <w:marTop w:val="0"/>
      <w:marBottom w:val="0"/>
      <w:divBdr>
        <w:top w:val="none" w:sz="0" w:space="0" w:color="auto"/>
        <w:left w:val="none" w:sz="0" w:space="0" w:color="auto"/>
        <w:bottom w:val="none" w:sz="0" w:space="0" w:color="auto"/>
        <w:right w:val="none" w:sz="0" w:space="0" w:color="auto"/>
      </w:divBdr>
    </w:div>
    <w:div w:id="1362709026">
      <w:bodyDiv w:val="1"/>
      <w:marLeft w:val="0"/>
      <w:marRight w:val="0"/>
      <w:marTop w:val="0"/>
      <w:marBottom w:val="0"/>
      <w:divBdr>
        <w:top w:val="none" w:sz="0" w:space="0" w:color="auto"/>
        <w:left w:val="none" w:sz="0" w:space="0" w:color="auto"/>
        <w:bottom w:val="none" w:sz="0" w:space="0" w:color="auto"/>
        <w:right w:val="none" w:sz="0" w:space="0" w:color="auto"/>
      </w:divBdr>
    </w:div>
    <w:div w:id="1389452543">
      <w:bodyDiv w:val="1"/>
      <w:marLeft w:val="0"/>
      <w:marRight w:val="0"/>
      <w:marTop w:val="0"/>
      <w:marBottom w:val="0"/>
      <w:divBdr>
        <w:top w:val="none" w:sz="0" w:space="0" w:color="auto"/>
        <w:left w:val="none" w:sz="0" w:space="0" w:color="auto"/>
        <w:bottom w:val="none" w:sz="0" w:space="0" w:color="auto"/>
        <w:right w:val="none" w:sz="0" w:space="0" w:color="auto"/>
      </w:divBdr>
    </w:div>
    <w:div w:id="1511792678">
      <w:bodyDiv w:val="1"/>
      <w:marLeft w:val="0"/>
      <w:marRight w:val="0"/>
      <w:marTop w:val="0"/>
      <w:marBottom w:val="0"/>
      <w:divBdr>
        <w:top w:val="none" w:sz="0" w:space="0" w:color="auto"/>
        <w:left w:val="none" w:sz="0" w:space="0" w:color="auto"/>
        <w:bottom w:val="none" w:sz="0" w:space="0" w:color="auto"/>
        <w:right w:val="none" w:sz="0" w:space="0" w:color="auto"/>
      </w:divBdr>
    </w:div>
    <w:div w:id="1586112269">
      <w:bodyDiv w:val="1"/>
      <w:marLeft w:val="0"/>
      <w:marRight w:val="0"/>
      <w:marTop w:val="0"/>
      <w:marBottom w:val="0"/>
      <w:divBdr>
        <w:top w:val="none" w:sz="0" w:space="0" w:color="auto"/>
        <w:left w:val="none" w:sz="0" w:space="0" w:color="auto"/>
        <w:bottom w:val="none" w:sz="0" w:space="0" w:color="auto"/>
        <w:right w:val="none" w:sz="0" w:space="0" w:color="auto"/>
      </w:divBdr>
    </w:div>
    <w:div w:id="1708288977">
      <w:bodyDiv w:val="1"/>
      <w:marLeft w:val="0"/>
      <w:marRight w:val="0"/>
      <w:marTop w:val="0"/>
      <w:marBottom w:val="0"/>
      <w:divBdr>
        <w:top w:val="none" w:sz="0" w:space="0" w:color="auto"/>
        <w:left w:val="none" w:sz="0" w:space="0" w:color="auto"/>
        <w:bottom w:val="none" w:sz="0" w:space="0" w:color="auto"/>
        <w:right w:val="none" w:sz="0" w:space="0" w:color="auto"/>
      </w:divBdr>
    </w:div>
    <w:div w:id="1750230559">
      <w:bodyDiv w:val="1"/>
      <w:marLeft w:val="0"/>
      <w:marRight w:val="0"/>
      <w:marTop w:val="0"/>
      <w:marBottom w:val="0"/>
      <w:divBdr>
        <w:top w:val="none" w:sz="0" w:space="0" w:color="auto"/>
        <w:left w:val="none" w:sz="0" w:space="0" w:color="auto"/>
        <w:bottom w:val="none" w:sz="0" w:space="0" w:color="auto"/>
        <w:right w:val="none" w:sz="0" w:space="0" w:color="auto"/>
      </w:divBdr>
    </w:div>
    <w:div w:id="1812868968">
      <w:bodyDiv w:val="1"/>
      <w:marLeft w:val="0"/>
      <w:marRight w:val="0"/>
      <w:marTop w:val="0"/>
      <w:marBottom w:val="0"/>
      <w:divBdr>
        <w:top w:val="none" w:sz="0" w:space="0" w:color="auto"/>
        <w:left w:val="none" w:sz="0" w:space="0" w:color="auto"/>
        <w:bottom w:val="none" w:sz="0" w:space="0" w:color="auto"/>
        <w:right w:val="none" w:sz="0" w:space="0" w:color="auto"/>
      </w:divBdr>
      <w:divsChild>
        <w:div w:id="361397663">
          <w:marLeft w:val="0"/>
          <w:marRight w:val="0"/>
          <w:marTop w:val="0"/>
          <w:marBottom w:val="0"/>
          <w:divBdr>
            <w:top w:val="none" w:sz="0" w:space="0" w:color="auto"/>
            <w:left w:val="none" w:sz="0" w:space="0" w:color="auto"/>
            <w:bottom w:val="none" w:sz="0" w:space="0" w:color="auto"/>
            <w:right w:val="none" w:sz="0" w:space="0" w:color="auto"/>
          </w:divBdr>
        </w:div>
      </w:divsChild>
    </w:div>
    <w:div w:id="1835678942">
      <w:bodyDiv w:val="1"/>
      <w:marLeft w:val="0"/>
      <w:marRight w:val="0"/>
      <w:marTop w:val="0"/>
      <w:marBottom w:val="0"/>
      <w:divBdr>
        <w:top w:val="none" w:sz="0" w:space="0" w:color="auto"/>
        <w:left w:val="none" w:sz="0" w:space="0" w:color="auto"/>
        <w:bottom w:val="none" w:sz="0" w:space="0" w:color="auto"/>
        <w:right w:val="none" w:sz="0" w:space="0" w:color="auto"/>
      </w:divBdr>
    </w:div>
    <w:div w:id="1860966550">
      <w:bodyDiv w:val="1"/>
      <w:marLeft w:val="0"/>
      <w:marRight w:val="0"/>
      <w:marTop w:val="0"/>
      <w:marBottom w:val="0"/>
      <w:divBdr>
        <w:top w:val="none" w:sz="0" w:space="0" w:color="auto"/>
        <w:left w:val="none" w:sz="0" w:space="0" w:color="auto"/>
        <w:bottom w:val="none" w:sz="0" w:space="0" w:color="auto"/>
        <w:right w:val="none" w:sz="0" w:space="0" w:color="auto"/>
      </w:divBdr>
    </w:div>
    <w:div w:id="1869563314">
      <w:bodyDiv w:val="1"/>
      <w:marLeft w:val="0"/>
      <w:marRight w:val="0"/>
      <w:marTop w:val="0"/>
      <w:marBottom w:val="0"/>
      <w:divBdr>
        <w:top w:val="none" w:sz="0" w:space="0" w:color="auto"/>
        <w:left w:val="none" w:sz="0" w:space="0" w:color="auto"/>
        <w:bottom w:val="none" w:sz="0" w:space="0" w:color="auto"/>
        <w:right w:val="none" w:sz="0" w:space="0" w:color="auto"/>
      </w:divBdr>
    </w:div>
    <w:div w:id="1897013062">
      <w:bodyDiv w:val="1"/>
      <w:marLeft w:val="0"/>
      <w:marRight w:val="0"/>
      <w:marTop w:val="0"/>
      <w:marBottom w:val="0"/>
      <w:divBdr>
        <w:top w:val="none" w:sz="0" w:space="0" w:color="auto"/>
        <w:left w:val="none" w:sz="0" w:space="0" w:color="auto"/>
        <w:bottom w:val="none" w:sz="0" w:space="0" w:color="auto"/>
        <w:right w:val="none" w:sz="0" w:space="0" w:color="auto"/>
      </w:divBdr>
    </w:div>
    <w:div w:id="1928490364">
      <w:bodyDiv w:val="1"/>
      <w:marLeft w:val="0"/>
      <w:marRight w:val="0"/>
      <w:marTop w:val="0"/>
      <w:marBottom w:val="0"/>
      <w:divBdr>
        <w:top w:val="none" w:sz="0" w:space="0" w:color="auto"/>
        <w:left w:val="none" w:sz="0" w:space="0" w:color="auto"/>
        <w:bottom w:val="none" w:sz="0" w:space="0" w:color="auto"/>
        <w:right w:val="none" w:sz="0" w:space="0" w:color="auto"/>
      </w:divBdr>
    </w:div>
    <w:div w:id="1944458695">
      <w:bodyDiv w:val="1"/>
      <w:marLeft w:val="0"/>
      <w:marRight w:val="0"/>
      <w:marTop w:val="0"/>
      <w:marBottom w:val="0"/>
      <w:divBdr>
        <w:top w:val="none" w:sz="0" w:space="0" w:color="auto"/>
        <w:left w:val="none" w:sz="0" w:space="0" w:color="auto"/>
        <w:bottom w:val="none" w:sz="0" w:space="0" w:color="auto"/>
        <w:right w:val="none" w:sz="0" w:space="0" w:color="auto"/>
      </w:divBdr>
    </w:div>
    <w:div w:id="1980762636">
      <w:bodyDiv w:val="1"/>
      <w:marLeft w:val="0"/>
      <w:marRight w:val="0"/>
      <w:marTop w:val="0"/>
      <w:marBottom w:val="0"/>
      <w:divBdr>
        <w:top w:val="none" w:sz="0" w:space="0" w:color="auto"/>
        <w:left w:val="none" w:sz="0" w:space="0" w:color="auto"/>
        <w:bottom w:val="none" w:sz="0" w:space="0" w:color="auto"/>
        <w:right w:val="none" w:sz="0" w:space="0" w:color="auto"/>
      </w:divBdr>
    </w:div>
    <w:div w:id="1993174520">
      <w:bodyDiv w:val="1"/>
      <w:marLeft w:val="0"/>
      <w:marRight w:val="0"/>
      <w:marTop w:val="0"/>
      <w:marBottom w:val="0"/>
      <w:divBdr>
        <w:top w:val="none" w:sz="0" w:space="0" w:color="auto"/>
        <w:left w:val="none" w:sz="0" w:space="0" w:color="auto"/>
        <w:bottom w:val="none" w:sz="0" w:space="0" w:color="auto"/>
        <w:right w:val="none" w:sz="0" w:space="0" w:color="auto"/>
      </w:divBdr>
    </w:div>
    <w:div w:id="2048023606">
      <w:bodyDiv w:val="1"/>
      <w:marLeft w:val="0"/>
      <w:marRight w:val="0"/>
      <w:marTop w:val="0"/>
      <w:marBottom w:val="0"/>
      <w:divBdr>
        <w:top w:val="none" w:sz="0" w:space="0" w:color="auto"/>
        <w:left w:val="none" w:sz="0" w:space="0" w:color="auto"/>
        <w:bottom w:val="none" w:sz="0" w:space="0" w:color="auto"/>
        <w:right w:val="none" w:sz="0" w:space="0" w:color="auto"/>
      </w:divBdr>
    </w:div>
    <w:div w:id="2072192986">
      <w:bodyDiv w:val="1"/>
      <w:marLeft w:val="0"/>
      <w:marRight w:val="0"/>
      <w:marTop w:val="0"/>
      <w:marBottom w:val="0"/>
      <w:divBdr>
        <w:top w:val="none" w:sz="0" w:space="0" w:color="auto"/>
        <w:left w:val="none" w:sz="0" w:space="0" w:color="auto"/>
        <w:bottom w:val="none" w:sz="0" w:space="0" w:color="auto"/>
        <w:right w:val="none" w:sz="0" w:space="0" w:color="auto"/>
      </w:divBdr>
    </w:div>
    <w:div w:id="21448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1DEDD-0DC7-4BFD-9516-3D2E512E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6012</TotalTime>
  <Pages>1</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Carstensen</dc:creator>
  <cp:lastModifiedBy>Jeffrey Carstensen</cp:lastModifiedBy>
  <cp:revision>15</cp:revision>
  <cp:lastPrinted>2020-07-13T19:55:00Z</cp:lastPrinted>
  <dcterms:created xsi:type="dcterms:W3CDTF">2020-07-07T19:57:00Z</dcterms:created>
  <dcterms:modified xsi:type="dcterms:W3CDTF">2020-07-29T16:44:00Z</dcterms:modified>
</cp:coreProperties>
</file>